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ascii="仿宋_GB2312" w:hAnsi="仿宋_GB2312" w:eastAsia="仿宋_GB2312" w:cs="仿宋_GB2312"/>
          <w:kern w:val="0"/>
          <w:sz w:val="36"/>
          <w:szCs w:val="36"/>
        </w:rPr>
        <w:t>2020</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岳普湖县供销社</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ascii="仿宋_GB2312" w:hAnsi="仿宋_GB2312" w:eastAsia="仿宋_GB2312" w:cs="仿宋_GB2312"/>
          <w:kern w:val="0"/>
          <w:sz w:val="36"/>
          <w:szCs w:val="36"/>
        </w:rPr>
        <w:t xml:space="preserve">2021 年 </w:t>
      </w:r>
      <w:r>
        <w:rPr>
          <w:rFonts w:hint="eastAsia" w:ascii="仿宋_GB2312" w:hAnsi="仿宋_GB2312" w:eastAsia="仿宋_GB2312" w:cs="仿宋_GB2312"/>
          <w:kern w:val="0"/>
          <w:sz w:val="36"/>
          <w:szCs w:val="36"/>
          <w:lang w:val="en-US" w:eastAsia="zh-CN"/>
        </w:rPr>
        <w:t>03</w:t>
      </w:r>
      <w:r>
        <w:rPr>
          <w:rFonts w:hint="eastAsia" w:ascii="仿宋_GB2312" w:hAnsi="仿宋_GB2312" w:eastAsia="仿宋_GB2312" w:cs="仿宋_GB2312"/>
          <w:kern w:val="0"/>
          <w:sz w:val="36"/>
          <w:szCs w:val="36"/>
        </w:rPr>
        <w:t xml:space="preserve"> 月 </w:t>
      </w:r>
      <w:r>
        <w:rPr>
          <w:rFonts w:hint="eastAsia" w:ascii="仿宋_GB2312" w:hAnsi="仿宋_GB2312" w:eastAsia="仿宋_GB2312" w:cs="仿宋_GB2312"/>
          <w:kern w:val="0"/>
          <w:sz w:val="36"/>
          <w:szCs w:val="36"/>
          <w:lang w:val="en-US" w:eastAsia="zh-CN"/>
        </w:rPr>
        <w:t xml:space="preserve">15 </w:t>
      </w:r>
      <w:r>
        <w:rPr>
          <w:rFonts w:hint="eastAsia" w:ascii="仿宋_GB2312" w:hAnsi="仿宋_GB2312" w:eastAsia="仿宋_GB2312" w:cs="仿宋_GB2312"/>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bidi="ar"/>
        </w:rPr>
        <w:t>（一）单位基本情况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1.部门主要职能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岳普湖县供销社从2014年1月1日起根据自治区人民政府有关县级供销社改革发展的意见，由集体所有制企业改革成县人民政府所属的全额事业单位。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主要任务是根据国家政策法令，按国家计划组织生产资料、生活资料的供应和农副产品、手工业品的收购，支援农业和多种经营的发展，领导管理农村市场。通过购销业务，为工农业生产服务、为人民生活服务，促进农村经济的发展。</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2.部门机构设置及人员构成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yellow"/>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岳普湖县供销社设置办公室，财务室，综合办公室，定编定岗7人。实有人员8名。在职职工工资纳入县财政预算，退休职工工资由县社会劳动保障管理局负责发放。</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3.年度重点工作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结合我县蔬菜供应实际，县委、县人民政府高度重视农产品生产销售工作，牢固树立“四个意识”，切实扛起农产品销售工作政治责任，采取有力措施，加大服务，积极谋划农产品生产销售工作，落实产前、产中、产后服务，促进一产上水平，做到生产、保鲜、销售相结合，实现农业增效、农民增收，助力脱贫攻坚。</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建设保鲜冷藏库两座，每座5981.84平方米，合计11963.68平方米。</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建设两座保鲜库，每座2316平方米，合计4272平方米；南瓜粉加工车间1座，4051.5平方米；食用油加工车间1座，3219平方米；仓库2座，每座6798平方米，合计13596平方米，总合计建筑面积25138.5平方米。</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（二）项目决策过程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部门项目的立项依据充分，符合相关法规政策及部门职责，依据充分。符合行业发展和政策要求，与部门职责范围相符，属于部门履职所需。符合中央、地方事权支出责任划分原则。</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部门项目立项程序规范，项目严格按照规定的程序申请设立；审批文件、材料符合相关要求；项目前期已经过必要的可行性研究、专家论证、风险评估、绩效评估、集体决策。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部门整体绩效指标明确，已将整体项目绩效目标细化分解为具体的绩效指标；可以通过清晰、可衡量的指标值予以体现；与整体项目目标任务数或计划数相对应。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预算编制科学，整体项目在资金投入方面，预算编制经过科学论证、有明确标准，资金额度与年度目标相适应，用以反映和考核项目预算编制的科学性、合理性情况。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资金分配合理，整体项目预算资金分配有测算依据，资金分配额度合理，与部门单位的实际情况相适应。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（三）项目资金分配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1.分配依据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紧密结合部门职能，开展部门预算编制工作，按照收支平衡、保障重点的原则，合理规范编制部门预算，分配依据充分。</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2.分配结果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预算编制和分配符合部门职责和任务要求，能根据年度工作重点，在不同项目、不同用途之间分配合理。整体绩效目标与预算确定的资金相匹配。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3.重点支出保障率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本年度预算安排的重点项目支出</w:t>
      </w:r>
      <w:r>
        <w:rPr>
          <w:rStyle w:val="8"/>
          <w:rFonts w:hint="eastAsia" w:ascii="仿宋_GB2312" w:hAnsi="仿宋_GB2312" w:eastAsia="仿宋_GB2312" w:cs="仿宋_GB2312"/>
          <w:b w:val="0"/>
          <w:color w:val="333333"/>
          <w:sz w:val="32"/>
          <w:szCs w:val="32"/>
          <w:lang w:val="en-US" w:eastAsia="zh-CN" w:bidi="ar"/>
        </w:rPr>
        <w:t>6944.95万元，</w:t>
      </w:r>
      <w:r>
        <w:rPr>
          <w:rStyle w:val="8"/>
          <w:rFonts w:hint="default" w:ascii="仿宋_GB2312" w:hAnsi="仿宋_GB2312" w:eastAsia="仿宋_GB2312" w:cs="仿宋_GB2312"/>
          <w:b w:val="0"/>
          <w:color w:val="333333"/>
          <w:sz w:val="32"/>
          <w:szCs w:val="32"/>
          <w:lang w:val="en-US" w:eastAsia="zh-CN" w:bidi="ar"/>
        </w:rPr>
        <w:t>项目总支出</w:t>
      </w:r>
      <w:r>
        <w:rPr>
          <w:rStyle w:val="8"/>
          <w:rFonts w:hint="eastAsia" w:ascii="仿宋_GB2312" w:hAnsi="仿宋_GB2312" w:eastAsia="仿宋_GB2312" w:cs="仿宋_GB2312"/>
          <w:b w:val="0"/>
          <w:color w:val="333333"/>
          <w:sz w:val="32"/>
          <w:szCs w:val="32"/>
          <w:lang w:val="en-US" w:eastAsia="zh-CN" w:bidi="ar"/>
        </w:rPr>
        <w:t>8946.54万元，重点支出保障率为77.63%。</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（四）部门单位整体支出规模</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2020年度本单位部门整体支出年初预算总额为117.34万元。其中：一般公共预算拨款支出117.34万元，占比100%。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按预算支出用途划分，其中：基本支出全年预算合计122.38万元，占年度部门整体支出预算1.35%，主要用于人员工资社保及日常公用经费支出；项目支出全年预算8946.54万元，占年度部门整体支出预算的98.65%，主要用于保障年度完成核定的职能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lang w:val="en-US" w:eastAsia="zh-CN" w:bidi="ar"/>
        </w:rPr>
        <w:t>部门整体支出全</w:t>
      </w:r>
      <w:r>
        <w:rPr>
          <w:rStyle w:val="8"/>
          <w:rFonts w:hint="eastAsia" w:ascii="仿宋_GB2312" w:hAnsi="仿宋_GB2312" w:eastAsia="仿宋_GB2312" w:cs="仿宋_GB2312"/>
          <w:b w:val="0"/>
          <w:color w:val="333333"/>
          <w:sz w:val="32"/>
          <w:szCs w:val="32"/>
          <w:highlight w:val="none"/>
          <w:lang w:val="en-US" w:eastAsia="zh-CN" w:bidi="ar"/>
        </w:rPr>
        <w:t>年预算数为9068.92万元，实际预算执行数</w:t>
      </w:r>
      <w:r>
        <w:rPr>
          <w:rStyle w:val="8"/>
          <w:rFonts w:hint="eastAsia" w:ascii="仿宋_GB2312" w:hAnsi="仿宋_GB2312" w:eastAsia="仿宋_GB2312" w:cs="仿宋_GB2312"/>
          <w:b w:val="0"/>
          <w:color w:val="333333"/>
          <w:sz w:val="32"/>
          <w:szCs w:val="32"/>
          <w:highlight w:val="yellow"/>
          <w:lang w:val="en-US" w:eastAsia="zh-CN" w:bidi="ar"/>
        </w:rPr>
        <w:t>9068.92</w:t>
      </w:r>
      <w:r>
        <w:rPr>
          <w:rStyle w:val="8"/>
          <w:rFonts w:hint="eastAsia" w:ascii="仿宋_GB2312" w:hAnsi="仿宋_GB2312" w:eastAsia="仿宋_GB2312" w:cs="仿宋_GB2312"/>
          <w:b w:val="0"/>
          <w:color w:val="333333"/>
          <w:sz w:val="32"/>
          <w:szCs w:val="32"/>
          <w:highlight w:val="none"/>
          <w:lang w:val="en-US" w:eastAsia="zh-CN" w:bidi="ar"/>
        </w:rPr>
        <w:t>万元，预算执行率为100%。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年初基本支出预算数为117.34万元，全年基本支出预算调整数为122.38万元，支出预算调整率4.30%。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年初政府采购预算数为1297.49万元，实际政府采购数为</w:t>
      </w:r>
      <w:r>
        <w:rPr>
          <w:rStyle w:val="8"/>
          <w:rFonts w:hint="eastAsia" w:ascii="仿宋_GB2312" w:hAnsi="仿宋_GB2312" w:eastAsia="仿宋_GB2312" w:cs="仿宋_GB2312"/>
          <w:b w:val="0"/>
          <w:color w:val="auto"/>
          <w:sz w:val="32"/>
          <w:szCs w:val="32"/>
          <w:highlight w:val="yellow"/>
          <w:lang w:val="en-US" w:eastAsia="zh-CN" w:bidi="ar"/>
        </w:rPr>
        <w:t>1297.49</w:t>
      </w:r>
      <w:r>
        <w:rPr>
          <w:rStyle w:val="8"/>
          <w:rFonts w:hint="eastAsia" w:ascii="仿宋_GB2312" w:hAnsi="仿宋_GB2312" w:eastAsia="仿宋_GB2312" w:cs="仿宋_GB2312"/>
          <w:b w:val="0"/>
          <w:color w:val="auto"/>
          <w:sz w:val="32"/>
          <w:szCs w:val="32"/>
          <w:highlight w:val="none"/>
          <w:lang w:val="en-US" w:eastAsia="zh-CN" w:bidi="ar"/>
        </w:rPr>
        <w:t>万元，政府采购执行率为100%。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项目支出总预算</w:t>
      </w:r>
      <w:r>
        <w:rPr>
          <w:rStyle w:val="8"/>
          <w:rFonts w:hint="eastAsia" w:ascii="仿宋_GB2312" w:hAnsi="仿宋_GB2312" w:eastAsia="仿宋_GB2312" w:cs="仿宋_GB2312"/>
          <w:b w:val="0"/>
          <w:color w:val="333333"/>
          <w:sz w:val="32"/>
          <w:szCs w:val="32"/>
          <w:highlight w:val="yellow"/>
          <w:lang w:val="en-US" w:eastAsia="zh-CN" w:bidi="ar"/>
        </w:rPr>
        <w:t>8946.54</w:t>
      </w:r>
      <w:r>
        <w:rPr>
          <w:rStyle w:val="8"/>
          <w:rFonts w:hint="eastAsia" w:ascii="仿宋_GB2312" w:hAnsi="仿宋_GB2312" w:eastAsia="仿宋_GB2312" w:cs="仿宋_GB2312"/>
          <w:b w:val="0"/>
          <w:color w:val="333333"/>
          <w:sz w:val="32"/>
          <w:szCs w:val="32"/>
          <w:highlight w:val="none"/>
          <w:lang w:val="en-US" w:eastAsia="zh-CN" w:bidi="ar"/>
        </w:rPr>
        <w:t>万元，其中：一般公共预算拨款2696.18万元，涉及4个项目。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方正楷体_GBK" w:hAnsi="方正楷体_GBK" w:eastAsia="方正楷体_GBK" w:cs="方正楷体_GBK"/>
          <w:b w:val="0"/>
          <w:color w:val="auto"/>
          <w:sz w:val="32"/>
          <w:szCs w:val="32"/>
          <w:lang w:val="en-US" w:eastAsia="zh-CN" w:bidi="ar"/>
        </w:rPr>
        <w:t>（五）评价使用方法和主要内容、涉及范围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1.评价使用方法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绩效评价方法主要采用综合评价法来进行评价，通过综合研究本部门职能，对比分析项目设立与部门职能之间的匹配关系，对项目的分类及合理性进行评价。在综合评价法评价的基础上，综合辅以成本分析法、比较法等。</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2.主要内容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的主要内容为部门目标、部门职能、资源配置、预算管理、财务管理、人力资源管理、资产管理、业务管理、部门绩效产出。同时着重对部门基本支出、项目支出结构安排的合理性、职责执行的规范性进行评价。</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评价范围是部门单位的部门决策、部门管理和部门绩效。</w:t>
      </w: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（一）预算管理情况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1.管理制度健全性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本部门在整体项目组织实施方面，已制定或具有相应的财务和业务管理制度，财务和业务管理制度合法、合规、完整。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2.资金使用合规性和安全性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部门预算资金使用符合国家法规和财务管理制度；预算资金拨付有完整的审批程序和手续，符合项目预算批复或合同规定的用途；不存在截留、挤占、挪用、虚列支出等情况。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3.预决算信息公开性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按照《中央、国务院关于进一步推进预算公开工作的意见（中办发〔2016〕13号）、《地方预决算公开操作规程》（财预〔2016〕143号）</w:t>
      </w:r>
      <w:r>
        <w:rPr>
          <w:rStyle w:val="8"/>
          <w:rFonts w:hint="eastAsia" w:ascii="仿宋_GB2312" w:hAnsi="仿宋_GB2312" w:eastAsia="仿宋_GB2312" w:cs="仿宋_GB2312"/>
          <w:b w:val="0"/>
          <w:color w:val="333333"/>
          <w:sz w:val="32"/>
          <w:szCs w:val="32"/>
          <w:lang w:val="en-US" w:eastAsia="zh-CN" w:bidi="ar"/>
        </w:rPr>
        <w:t>等相关要求，本</w:t>
      </w:r>
      <w:r>
        <w:rPr>
          <w:rStyle w:val="8"/>
          <w:rFonts w:hint="default" w:ascii="仿宋_GB2312" w:hAnsi="仿宋_GB2312" w:eastAsia="仿宋_GB2312" w:cs="仿宋_GB2312"/>
          <w:b w:val="0"/>
          <w:color w:val="333333"/>
          <w:sz w:val="32"/>
          <w:szCs w:val="32"/>
          <w:lang w:val="en-US" w:eastAsia="zh-CN" w:bidi="ar"/>
        </w:rPr>
        <w:t>部门</w:t>
      </w:r>
      <w:r>
        <w:rPr>
          <w:rStyle w:val="8"/>
          <w:rFonts w:hint="eastAsia" w:ascii="仿宋_GB2312" w:hAnsi="仿宋_GB2312" w:eastAsia="仿宋_GB2312" w:cs="仿宋_GB2312"/>
          <w:b w:val="0"/>
          <w:color w:val="333333"/>
          <w:sz w:val="32"/>
          <w:szCs w:val="32"/>
          <w:lang w:val="en-US" w:eastAsia="zh-CN" w:bidi="ar"/>
        </w:rPr>
        <w:t>已在岳普湖县政府网站</w:t>
      </w:r>
      <w:r>
        <w:rPr>
          <w:rStyle w:val="8"/>
          <w:rFonts w:hint="default" w:ascii="仿宋_GB2312" w:hAnsi="仿宋_GB2312" w:eastAsia="仿宋_GB2312" w:cs="仿宋_GB2312"/>
          <w:b w:val="0"/>
          <w:color w:val="333333"/>
          <w:sz w:val="32"/>
          <w:szCs w:val="32"/>
          <w:lang w:val="en-US" w:eastAsia="zh-CN" w:bidi="ar"/>
        </w:rPr>
        <w:t>公开</w:t>
      </w:r>
      <w:r>
        <w:rPr>
          <w:rStyle w:val="8"/>
          <w:rFonts w:hint="eastAsia" w:ascii="仿宋_GB2312" w:hAnsi="仿宋_GB2312" w:eastAsia="仿宋_GB2312" w:cs="仿宋_GB2312"/>
          <w:b w:val="0"/>
          <w:color w:val="333333"/>
          <w:sz w:val="32"/>
          <w:szCs w:val="32"/>
          <w:lang w:val="en-US" w:eastAsia="zh-CN" w:bidi="ar"/>
        </w:rPr>
        <w:t>部门</w:t>
      </w:r>
      <w:r>
        <w:rPr>
          <w:rStyle w:val="8"/>
          <w:rFonts w:hint="default" w:ascii="仿宋_GB2312" w:hAnsi="仿宋_GB2312" w:eastAsia="仿宋_GB2312" w:cs="仿宋_GB2312"/>
          <w:b w:val="0"/>
          <w:color w:val="333333"/>
          <w:sz w:val="32"/>
          <w:szCs w:val="32"/>
          <w:lang w:val="en-US" w:eastAsia="zh-CN" w:bidi="ar"/>
        </w:rPr>
        <w:t>预决算信息</w:t>
      </w:r>
      <w:r>
        <w:rPr>
          <w:rStyle w:val="8"/>
          <w:rFonts w:hint="eastAsia" w:ascii="仿宋_GB2312" w:hAnsi="仿宋_GB2312" w:eastAsia="仿宋_GB2312" w:cs="仿宋_GB2312"/>
          <w:b w:val="0"/>
          <w:color w:val="333333"/>
          <w:sz w:val="32"/>
          <w:szCs w:val="32"/>
          <w:lang w:val="en-US"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（二）基本支出和使用情况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基本支出</w:t>
      </w:r>
      <w:r>
        <w:rPr>
          <w:rStyle w:val="8"/>
          <w:rFonts w:hint="eastAsia" w:ascii="仿宋_GB2312" w:hAnsi="仿宋_GB2312" w:eastAsia="仿宋_GB2312" w:cs="仿宋_GB2312"/>
          <w:b w:val="0"/>
          <w:color w:val="333333"/>
          <w:sz w:val="32"/>
          <w:szCs w:val="32"/>
          <w:highlight w:val="none"/>
          <w:lang w:val="en-US" w:eastAsia="zh-CN" w:bidi="ar"/>
        </w:rPr>
        <w:t>全年</w:t>
      </w:r>
      <w:r>
        <w:rPr>
          <w:rStyle w:val="8"/>
          <w:rFonts w:hint="eastAsia" w:ascii="仿宋_GB2312" w:hAnsi="仿宋_GB2312" w:eastAsia="仿宋_GB2312" w:cs="仿宋_GB2312"/>
          <w:b w:val="0"/>
          <w:color w:val="333333"/>
          <w:sz w:val="32"/>
          <w:szCs w:val="32"/>
          <w:highlight w:val="none"/>
          <w:lang w:bidi="ar"/>
        </w:rPr>
        <w:t>预算总额</w:t>
      </w:r>
      <w:r>
        <w:rPr>
          <w:rStyle w:val="8"/>
          <w:rFonts w:hint="eastAsia" w:ascii="仿宋_GB2312" w:hAnsi="仿宋_GB2312" w:eastAsia="仿宋_GB2312" w:cs="仿宋_GB2312"/>
          <w:b w:val="0"/>
          <w:color w:val="333333"/>
          <w:sz w:val="32"/>
          <w:szCs w:val="32"/>
          <w:highlight w:val="none"/>
          <w:lang w:val="en-US" w:eastAsia="zh-CN" w:bidi="ar"/>
        </w:rPr>
        <w:t>122.38</w:t>
      </w:r>
      <w:r>
        <w:rPr>
          <w:rStyle w:val="8"/>
          <w:rFonts w:hint="eastAsia" w:ascii="仿宋_GB2312" w:hAnsi="仿宋_GB2312" w:eastAsia="仿宋_GB2312" w:cs="仿宋_GB2312"/>
          <w:b w:val="0"/>
          <w:color w:val="333333"/>
          <w:sz w:val="32"/>
          <w:szCs w:val="32"/>
          <w:highlight w:val="none"/>
          <w:lang w:bidi="ar"/>
        </w:rPr>
        <w:t>万元，其中</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bidi="ar"/>
        </w:rPr>
        <w:t>人员经费</w:t>
      </w:r>
      <w:r>
        <w:rPr>
          <w:rStyle w:val="8"/>
          <w:rFonts w:hint="eastAsia" w:ascii="仿宋_GB2312" w:hAnsi="仿宋_GB2312" w:eastAsia="仿宋_GB2312" w:cs="仿宋_GB2312"/>
          <w:b w:val="0"/>
          <w:color w:val="333333"/>
          <w:sz w:val="32"/>
          <w:szCs w:val="32"/>
          <w:highlight w:val="none"/>
          <w:lang w:val="en-US" w:eastAsia="zh-CN" w:bidi="ar"/>
        </w:rPr>
        <w:t>120.37</w:t>
      </w:r>
      <w:r>
        <w:rPr>
          <w:rStyle w:val="8"/>
          <w:rFonts w:hint="eastAsia" w:ascii="仿宋_GB2312" w:hAnsi="仿宋_GB2312" w:eastAsia="仿宋_GB2312" w:cs="仿宋_GB2312"/>
          <w:b w:val="0"/>
          <w:color w:val="333333"/>
          <w:sz w:val="32"/>
          <w:szCs w:val="32"/>
          <w:highlight w:val="none"/>
          <w:lang w:bidi="ar"/>
        </w:rPr>
        <w:t>万元，公用经费</w:t>
      </w:r>
      <w:r>
        <w:rPr>
          <w:rStyle w:val="8"/>
          <w:rFonts w:hint="eastAsia" w:ascii="仿宋_GB2312" w:hAnsi="仿宋_GB2312" w:eastAsia="仿宋_GB2312" w:cs="仿宋_GB2312"/>
          <w:b w:val="0"/>
          <w:color w:val="333333"/>
          <w:sz w:val="32"/>
          <w:szCs w:val="32"/>
          <w:highlight w:val="none"/>
          <w:lang w:val="en-US" w:eastAsia="zh-CN" w:bidi="ar"/>
        </w:rPr>
        <w:t>2.01</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122.38</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基本支出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eastAsia="zh-CN" w:bidi="ar"/>
        </w:rPr>
      </w:pPr>
      <w:r>
        <w:rPr>
          <w:rStyle w:val="8"/>
          <w:rFonts w:hint="eastAsia" w:ascii="仿宋_GB2312" w:hAnsi="仿宋_GB2312" w:eastAsia="仿宋_GB2312" w:cs="仿宋_GB2312"/>
          <w:b w:val="0"/>
          <w:color w:val="333333"/>
          <w:sz w:val="32"/>
          <w:szCs w:val="32"/>
          <w:highlight w:val="none"/>
          <w:lang w:val="en-US" w:eastAsia="zh-CN" w:bidi="ar"/>
        </w:rPr>
        <w:t>三公经费控制情况：</w:t>
      </w:r>
      <w:r>
        <w:rPr>
          <w:rStyle w:val="8"/>
          <w:rFonts w:hint="eastAsia" w:ascii="仿宋_GB2312" w:hAnsi="仿宋_GB2312" w:eastAsia="仿宋_GB2312" w:cs="仿宋_GB2312"/>
          <w:b w:val="0"/>
          <w:color w:val="333333"/>
          <w:sz w:val="32"/>
          <w:szCs w:val="32"/>
          <w:highlight w:val="none"/>
          <w:lang w:bidi="ar"/>
        </w:rPr>
        <w:t>部门公务接待、公务用车、公款出国费用的控制情况符合财政部门当年的预算要求和相关管理制度要求</w:t>
      </w:r>
      <w:r>
        <w:rPr>
          <w:rStyle w:val="8"/>
          <w:rFonts w:hint="eastAsia" w:ascii="仿宋_GB2312" w:hAnsi="仿宋_GB2312" w:eastAsia="仿宋_GB2312" w:cs="仿宋_GB2312"/>
          <w:b w:val="0"/>
          <w:color w:val="333333"/>
          <w:sz w:val="32"/>
          <w:szCs w:val="32"/>
          <w:highlight w:val="none"/>
          <w:lang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highlight w:val="none"/>
          <w:lang w:val="en-US" w:eastAsia="zh-CN" w:bidi="ar"/>
        </w:rPr>
      </w:pPr>
      <w:r>
        <w:rPr>
          <w:rStyle w:val="8"/>
          <w:rFonts w:hint="eastAsia" w:ascii="方正楷体_GBK" w:hAnsi="方正楷体_GBK" w:eastAsia="方正楷体_GBK" w:cs="方正楷体_GBK"/>
          <w:b w:val="0"/>
          <w:color w:val="333333"/>
          <w:sz w:val="32"/>
          <w:szCs w:val="32"/>
          <w:highlight w:val="none"/>
          <w:lang w:val="en-US" w:eastAsia="zh-CN" w:bidi="ar"/>
        </w:rPr>
        <w:t>（三）专项支出管理和使用情况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本单位安排</w:t>
      </w:r>
      <w:r>
        <w:rPr>
          <w:rStyle w:val="8"/>
          <w:rFonts w:hint="eastAsia" w:ascii="仿宋_GB2312" w:hAnsi="仿宋_GB2312" w:eastAsia="仿宋_GB2312" w:cs="仿宋_GB2312"/>
          <w:b w:val="0"/>
          <w:color w:val="333333"/>
          <w:sz w:val="32"/>
          <w:szCs w:val="32"/>
          <w:highlight w:val="none"/>
          <w:lang w:bidi="ar"/>
        </w:rPr>
        <w:t>专项支出预算总额</w:t>
      </w:r>
      <w:r>
        <w:rPr>
          <w:rStyle w:val="8"/>
          <w:rFonts w:hint="eastAsia" w:ascii="仿宋_GB2312" w:hAnsi="仿宋_GB2312" w:eastAsia="仿宋_GB2312" w:cs="仿宋_GB2312"/>
          <w:b w:val="0"/>
          <w:color w:val="333333"/>
          <w:sz w:val="32"/>
          <w:szCs w:val="32"/>
          <w:highlight w:val="none"/>
          <w:lang w:val="en-US" w:eastAsia="zh-CN" w:bidi="ar"/>
        </w:rPr>
        <w:t>8946.54</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8946.54</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专项支出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共有</w:t>
      </w:r>
      <w:r>
        <w:rPr>
          <w:rStyle w:val="8"/>
          <w:rFonts w:hint="eastAsia" w:ascii="仿宋_GB2312" w:hAnsi="仿宋_GB2312" w:eastAsia="仿宋_GB2312" w:cs="仿宋_GB2312"/>
          <w:b w:val="0"/>
          <w:color w:val="333333"/>
          <w:sz w:val="32"/>
          <w:szCs w:val="32"/>
          <w:highlight w:val="none"/>
          <w:lang w:val="en-US" w:eastAsia="zh-CN" w:bidi="ar"/>
        </w:rPr>
        <w:t>4</w:t>
      </w:r>
      <w:r>
        <w:rPr>
          <w:rStyle w:val="8"/>
          <w:rFonts w:hint="eastAsia" w:ascii="仿宋_GB2312" w:hAnsi="仿宋_GB2312" w:eastAsia="仿宋_GB2312" w:cs="仿宋_GB2312"/>
          <w:b w:val="0"/>
          <w:color w:val="333333"/>
          <w:sz w:val="32"/>
          <w:szCs w:val="32"/>
          <w:highlight w:val="none"/>
          <w:lang w:bidi="ar"/>
        </w:rPr>
        <w:t>个专项资金项目，其中</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val="en-US" w:eastAsia="zh-CN" w:bidi="ar"/>
        </w:rPr>
        <w:t>4</w:t>
      </w:r>
      <w:r>
        <w:rPr>
          <w:rStyle w:val="8"/>
          <w:rFonts w:hint="eastAsia" w:ascii="仿宋_GB2312" w:hAnsi="仿宋_GB2312" w:eastAsia="仿宋_GB2312" w:cs="仿宋_GB2312"/>
          <w:b w:val="0"/>
          <w:color w:val="333333"/>
          <w:sz w:val="32"/>
          <w:szCs w:val="32"/>
          <w:highlight w:val="none"/>
          <w:lang w:bidi="ar"/>
        </w:rPr>
        <w:t>个属当年度新增项目，已完成项目</w:t>
      </w:r>
      <w:r>
        <w:rPr>
          <w:rStyle w:val="8"/>
          <w:rFonts w:hint="eastAsia" w:ascii="仿宋_GB2312" w:hAnsi="仿宋_GB2312" w:eastAsia="仿宋_GB2312" w:cs="仿宋_GB2312"/>
          <w:b w:val="0"/>
          <w:color w:val="333333"/>
          <w:sz w:val="32"/>
          <w:szCs w:val="32"/>
          <w:highlight w:val="none"/>
          <w:lang w:val="en-US" w:eastAsia="zh-CN" w:bidi="ar"/>
        </w:rPr>
        <w:t>4</w:t>
      </w:r>
      <w:r>
        <w:rPr>
          <w:rStyle w:val="8"/>
          <w:rFonts w:hint="eastAsia" w:ascii="仿宋_GB2312" w:hAnsi="仿宋_GB2312" w:eastAsia="仿宋_GB2312" w:cs="仿宋_GB2312"/>
          <w:b w:val="0"/>
          <w:color w:val="333333"/>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（一）专项组织情况分析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1.前期准备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通过与相关成员前期沟通，明确评价目标、识别重要评价事项和履行的评价责任。</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制定文件清单，了解项目基本情况，确认部门整体的绩效标，梳理部门内部管理制度，确定当年整体绩效评价重点。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2.组织实施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根据前期沟通了解评价对象基本情况，编制评价工作方案，进行调研实施。对数据采集、分析、处理结果撰写评价报告。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color w:val="auto"/>
          <w:spacing w:val="-4"/>
          <w:sz w:val="32"/>
          <w:szCs w:val="32"/>
          <w:lang w:val="en-US" w:eastAsia="zh-CN"/>
        </w:rPr>
      </w:pPr>
      <w:r>
        <w:rPr>
          <w:rStyle w:val="8"/>
          <w:rFonts w:hint="eastAsia" w:ascii="方正楷体_GBK" w:hAnsi="方正楷体_GBK" w:eastAsia="方正楷体_GBK" w:cs="方正楷体_GBK"/>
          <w:b w:val="0"/>
          <w:bCs w:val="0"/>
          <w:color w:val="auto"/>
          <w:spacing w:val="-4"/>
          <w:sz w:val="32"/>
          <w:szCs w:val="32"/>
          <w:lang w:val="en-US" w:eastAsia="zh-CN"/>
        </w:rPr>
        <w:t>（二）专项管理情况分析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1.项目资金情况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该项目预算资金8946.54万元，实际到位8946.54万元，实际支出8946.54万元。到位是足额及时，预算编制依据充分，预算编制准确，资金不存在截留、挪用，支付审批合规、不存在用途改变、范围超支和虚列项目支出等情况；本项目严格按照《岳普湖县供销社单位财务管理制度》执行项目资金，实行专账核算、逐级审批。认真落实项目资金的使用各项管理制度，确保专款专用，及时拨付到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2.项目实施情况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项目管理情况：根据《项目绩效管理办法》及单位相关项目管理制度的规定，对项目的实施进行监督管理。建立健全项目后续各项监督管理制度，确保项目正常运转，长期发挥效益。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项目监管情况：不定期对项目进度和质量等进行监督检查，并且组织开展多种形式的监督检查，以加强日常监管为主，自查、随机抽查、专项检查等方式进行。对检查中发现的问题，及时纠正。</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3.项目绩效情况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成本控制情况：严格按照相关的专项资金管理办法，实行多重审批控制专项经费的支出。</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成本节约情况：项目根据实际情况做出合理预算，支出严格控制在预算范围内，本着节约成本，防止资源浪费的原则将项目成效最大化。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4.项目效率性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项目实施进度：项目实施紧扣各个环节，逐步推进，及时与职能部门跟踪项目进展，加强项目督办，充分调动职能部门的积极性，加大项目投入工作的力度，加快项目实施进度。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项目完成质量：项目严格按照年度预期目标执行，项目完成质量达标。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5.项目效益性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预期目标完成程度：按预定目标完成了年初所设定的各项指标。专项经费实际支出未超出预算规定，保障了专项工作的开展。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highlight w:val="none"/>
          <w:lang w:val="en-US" w:eastAsia="zh-CN"/>
        </w:rPr>
        <w:t>项目实施对效益的影响：推进林果业发展，提高林</w:t>
      </w:r>
      <w:r>
        <w:rPr>
          <w:rStyle w:val="8"/>
          <w:rFonts w:hint="eastAsia" w:ascii="仿宋_GB2312" w:hAnsi="仿宋_GB2312" w:eastAsia="仿宋_GB2312" w:cs="仿宋_GB2312"/>
          <w:b w:val="0"/>
          <w:bCs w:val="0"/>
          <w:spacing w:val="-4"/>
          <w:sz w:val="32"/>
          <w:szCs w:val="32"/>
          <w:lang w:val="en-US" w:eastAsia="zh-CN"/>
        </w:rPr>
        <w:t>果业市场竞争力，延长农林果品保险期，增加产品附加值。</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资产管理情况</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一）资产管理规范性</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1.流动资产的管理</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流动资产严格按照本单位内控体系要求进行管理，无备用金，单位货币资金管理由财务科每月与银行进行对帐，并填写银行余额调节表。</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2.固定资产的管理</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color w:val="333333"/>
          <w:sz w:val="32"/>
          <w:szCs w:val="32"/>
          <w:lang w:bidi="ar"/>
        </w:rPr>
        <w:t>本单位的资产管理详细按照的相关要求执行,符合财政部门要求。每年定时对本单位的固定资产进行盘点，对盘点过程中发生的盈亏，进行原因查找，并上报单位党组研究决策，再上报财政国有资产管理科进行申报再行处理</w:t>
      </w:r>
      <w:r>
        <w:rPr>
          <w:rStyle w:val="8"/>
          <w:rFonts w:hint="eastAsia" w:ascii="仿宋_GB2312" w:hAnsi="仿宋_GB2312" w:eastAsia="仿宋_GB2312" w:cs="仿宋_GB2312"/>
          <w:b w:val="0"/>
          <w:bCs w:val="0"/>
          <w:spacing w:val="-4"/>
          <w:sz w:val="32"/>
          <w:szCs w:val="32"/>
        </w:rPr>
        <w:t>。</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二）固定资产利用率</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截止本年度固定资产账面净值815.45万元，年末实际在用固定资产815.45万元，固定资产利用率为100%。</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部门单位整体支出绩效情况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部门单位整体支出共设置一级指标3个，二级指标</w:t>
      </w:r>
      <w:r>
        <w:rPr>
          <w:rStyle w:val="8"/>
          <w:rFonts w:hint="eastAsia" w:ascii="仿宋_GB2312" w:hAnsi="仿宋_GB2312" w:eastAsia="仿宋_GB2312" w:cs="仿宋_GB2312"/>
          <w:b w:val="0"/>
          <w:bCs w:val="0"/>
          <w:spacing w:val="-4"/>
          <w:sz w:val="32"/>
          <w:szCs w:val="32"/>
          <w:lang w:val="en-US" w:eastAsia="zh-CN"/>
        </w:rPr>
        <w:t>7</w:t>
      </w:r>
      <w:r>
        <w:rPr>
          <w:rStyle w:val="8"/>
          <w:rFonts w:hint="eastAsia" w:ascii="仿宋_GB2312" w:hAnsi="仿宋_GB2312" w:eastAsia="仿宋_GB2312" w:cs="仿宋_GB2312"/>
          <w:b w:val="0"/>
          <w:bCs w:val="0"/>
          <w:spacing w:val="-4"/>
          <w:sz w:val="32"/>
          <w:szCs w:val="32"/>
        </w:rPr>
        <w:t>个，三级指标</w:t>
      </w:r>
      <w:r>
        <w:rPr>
          <w:rStyle w:val="8"/>
          <w:rFonts w:hint="eastAsia" w:ascii="仿宋_GB2312" w:hAnsi="仿宋_GB2312" w:eastAsia="仿宋_GB2312" w:cs="仿宋_GB2312"/>
          <w:b w:val="0"/>
          <w:bCs w:val="0"/>
          <w:spacing w:val="-4"/>
          <w:sz w:val="32"/>
          <w:szCs w:val="32"/>
          <w:lang w:val="en-US" w:eastAsia="zh-CN"/>
        </w:rPr>
        <w:t>11</w:t>
      </w:r>
      <w:r>
        <w:rPr>
          <w:rStyle w:val="8"/>
          <w:rFonts w:hint="eastAsia" w:ascii="仿宋_GB2312" w:hAnsi="仿宋_GB2312" w:eastAsia="仿宋_GB2312" w:cs="仿宋_GB2312"/>
          <w:b w:val="0"/>
          <w:bCs w:val="0"/>
          <w:spacing w:val="-4"/>
          <w:sz w:val="32"/>
          <w:szCs w:val="32"/>
        </w:rPr>
        <w:t>个。</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 w:hAnsi="仿宋" w:eastAsia="仿宋"/>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w:t>
      </w:r>
      <w:r>
        <w:rPr>
          <w:rStyle w:val="8"/>
          <w:rFonts w:hint="eastAsia" w:ascii="方正楷体_GBK" w:hAnsi="方正楷体_GBK" w:eastAsia="方正楷体_GBK" w:cs="方正楷体_GBK"/>
          <w:b w:val="0"/>
          <w:bCs w:val="0"/>
          <w:spacing w:val="-4"/>
          <w:sz w:val="32"/>
          <w:szCs w:val="32"/>
        </w:rPr>
        <w:t>产出指标完成情况分析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1.产出</w:t>
      </w:r>
      <w:r>
        <w:rPr>
          <w:rStyle w:val="8"/>
          <w:rFonts w:hint="eastAsia" w:ascii="仿宋_GB2312" w:hAnsi="仿宋_GB2312" w:eastAsia="仿宋_GB2312" w:cs="仿宋_GB2312"/>
          <w:b w:val="0"/>
          <w:bCs w:val="0"/>
          <w:spacing w:val="-4"/>
          <w:sz w:val="32"/>
          <w:szCs w:val="32"/>
        </w:rPr>
        <w:t>数量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保障人员人数指标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大于等于8</w:t>
      </w:r>
      <w:r>
        <w:rPr>
          <w:rStyle w:val="8"/>
          <w:rFonts w:hint="eastAsia" w:ascii="仿宋_GB2312" w:hAnsi="仿宋_GB2312" w:eastAsia="仿宋_GB2312" w:cs="仿宋_GB2312"/>
          <w:b w:val="0"/>
          <w:bCs w:val="0"/>
          <w:spacing w:val="-4"/>
          <w:sz w:val="32"/>
          <w:szCs w:val="32"/>
        </w:rPr>
        <w:t>人，实际完成值是</w:t>
      </w:r>
      <w:r>
        <w:rPr>
          <w:rStyle w:val="8"/>
          <w:rFonts w:hint="eastAsia" w:ascii="仿宋_GB2312" w:hAnsi="仿宋_GB2312" w:eastAsia="仿宋_GB2312" w:cs="仿宋_GB2312"/>
          <w:b w:val="0"/>
          <w:bCs w:val="0"/>
          <w:spacing w:val="-4"/>
          <w:sz w:val="32"/>
          <w:szCs w:val="32"/>
          <w:lang w:val="en-US" w:eastAsia="zh-CN"/>
        </w:rPr>
        <w:t>8</w:t>
      </w:r>
      <w:r>
        <w:rPr>
          <w:rStyle w:val="8"/>
          <w:rFonts w:hint="eastAsia" w:ascii="仿宋_GB2312" w:hAnsi="仿宋_GB2312" w:eastAsia="仿宋_GB2312" w:cs="仿宋_GB2312"/>
          <w:b w:val="0"/>
          <w:bCs w:val="0"/>
          <w:spacing w:val="-4"/>
          <w:sz w:val="32"/>
          <w:szCs w:val="32"/>
        </w:rPr>
        <w:t>人，指标完成率是100%，达到预期目标。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保障月份数指标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12个月</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12个月</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数量指标共计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个，达到预期目标，数量指标完成。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2.产出</w:t>
      </w:r>
      <w:r>
        <w:rPr>
          <w:rStyle w:val="8"/>
          <w:rFonts w:hint="eastAsia" w:ascii="仿宋_GB2312" w:hAnsi="仿宋_GB2312" w:eastAsia="仿宋_GB2312" w:cs="仿宋_GB2312"/>
          <w:b w:val="0"/>
          <w:bCs w:val="0"/>
          <w:spacing w:val="-4"/>
          <w:sz w:val="32"/>
          <w:szCs w:val="32"/>
        </w:rPr>
        <w:t>质量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经费保障率指标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eastAsia="zh-CN"/>
        </w:rPr>
      </w:pPr>
      <w:r>
        <w:rPr>
          <w:rStyle w:val="8"/>
          <w:rFonts w:hint="eastAsia" w:ascii="仿宋_GB2312" w:hAnsi="仿宋_GB2312" w:eastAsia="仿宋_GB2312" w:cs="仿宋_GB2312"/>
          <w:b w:val="0"/>
          <w:bCs w:val="0"/>
          <w:spacing w:val="-4"/>
          <w:sz w:val="32"/>
          <w:szCs w:val="32"/>
          <w:lang w:val="en-US" w:eastAsia="zh-CN"/>
        </w:rPr>
        <w:t>人员考核合格率指标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val="en-US" w:eastAsia="zh-CN"/>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个，达到预期目标，质量指标完成。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3.产出进</w:t>
      </w:r>
      <w:r>
        <w:rPr>
          <w:rStyle w:val="8"/>
          <w:rFonts w:hint="eastAsia" w:ascii="仿宋_GB2312" w:hAnsi="仿宋_GB2312" w:eastAsia="仿宋_GB2312" w:cs="仿宋_GB2312"/>
          <w:b w:val="0"/>
          <w:bCs w:val="0"/>
          <w:spacing w:val="-4"/>
          <w:sz w:val="32"/>
          <w:szCs w:val="32"/>
        </w:rPr>
        <w:t>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经费发放及时率指标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时效指标共计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个，达到预期目标，时效指标完成。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4.产出成本</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工资福利支出总金额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114.20</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114.20</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商品和福利支出总金额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2.40</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2.01</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个人和家庭补助支出总金额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0.74</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0.74</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w:t>
      </w: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个，达到预期目标，</w:t>
      </w:r>
      <w:r>
        <w:rPr>
          <w:rStyle w:val="8"/>
          <w:rFonts w:hint="eastAsia" w:ascii="仿宋_GB2312" w:hAnsi="仿宋_GB2312" w:eastAsia="仿宋_GB2312" w:cs="仿宋_GB2312"/>
          <w:b w:val="0"/>
          <w:bCs w:val="0"/>
          <w:spacing w:val="-4"/>
          <w:sz w:val="32"/>
          <w:szCs w:val="32"/>
          <w:lang w:val="en-US" w:eastAsia="zh-CN"/>
        </w:rPr>
        <w:t>成本</w:t>
      </w:r>
      <w:r>
        <w:rPr>
          <w:rStyle w:val="8"/>
          <w:rFonts w:hint="eastAsia" w:ascii="仿宋_GB2312" w:hAnsi="仿宋_GB2312" w:eastAsia="仿宋_GB2312" w:cs="仿宋_GB2312"/>
          <w:b w:val="0"/>
          <w:bCs w:val="0"/>
          <w:spacing w:val="-4"/>
          <w:sz w:val="32"/>
          <w:szCs w:val="32"/>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w:t>
      </w:r>
      <w:r>
        <w:rPr>
          <w:rStyle w:val="8"/>
          <w:rFonts w:hint="eastAsia" w:ascii="方正楷体_GBK" w:hAnsi="方正楷体_GBK" w:eastAsia="方正楷体_GBK" w:cs="方正楷体_GBK"/>
          <w:b w:val="0"/>
          <w:bCs w:val="0"/>
          <w:spacing w:val="-4"/>
          <w:sz w:val="32"/>
          <w:szCs w:val="32"/>
        </w:rPr>
        <w:t>效益指标完成情况分析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项目实施的经济效益分析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项目实施的社会效益分析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提升社会公众服务能力指标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有效提升</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有效提升</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个，达到预期目标，社会效益指标完成。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项目实施的生态效益分析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项目实施的可持续影响分析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保障单位日常工作正常进行指标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持续保障</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持续保障</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 w:hAnsi="仿宋" w:eastAsia="仿宋"/>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w:t>
      </w: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三）</w:t>
      </w:r>
      <w:r>
        <w:rPr>
          <w:rStyle w:val="8"/>
          <w:rFonts w:hint="eastAsia" w:ascii="方正楷体_GBK" w:hAnsi="方正楷体_GBK" w:eastAsia="方正楷体_GBK" w:cs="方正楷体_GBK"/>
          <w:b w:val="0"/>
          <w:bCs w:val="0"/>
          <w:spacing w:val="-4"/>
          <w:sz w:val="32"/>
          <w:szCs w:val="32"/>
        </w:rPr>
        <w:t>满意度指标完成情况分析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单位人员满意度</w:t>
      </w:r>
      <w:r>
        <w:rPr>
          <w:rStyle w:val="8"/>
          <w:rFonts w:hint="eastAsia" w:ascii="仿宋_GB2312" w:hAnsi="仿宋_GB2312" w:eastAsia="仿宋_GB2312" w:cs="仿宋_GB2312"/>
          <w:b w:val="0"/>
          <w:bCs w:val="0"/>
          <w:spacing w:val="-4"/>
          <w:sz w:val="32"/>
          <w:szCs w:val="32"/>
        </w:rPr>
        <w:t>满意度</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大于等于95</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99%</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个，达到预期目标，服务对象满意度指标完成。</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存在的主要问题</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eastAsia"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default"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绩效指标的明确性、可衡量性、相关性还需进一步提升。预算精细化管理还需完善，预算编制管理水平仍有进一步提升的空间。</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改进措施和建议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（一）改进措施</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加大绩效工作宣传力度，强化绩效理念。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完善绩效指标，提高整体绩效目标质量。提升预算精细化管理水平。</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继续完善预算绩效管理相关工作制度，建立全过程预算绩效管理链条，有效贯彻落实全面实施绩效管理的精神。</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（二）建议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bookmarkStart w:id="0" w:name="_GoBack"/>
      <w:r>
        <w:rPr>
          <w:rStyle w:val="8"/>
          <w:rFonts w:hint="eastAsia" w:ascii="仿宋_GB2312" w:hAnsi="仿宋_GB2312" w:eastAsia="仿宋_GB2312" w:cs="仿宋_GB2312"/>
          <w:b w:val="0"/>
          <w:bCs w:val="0"/>
          <w:spacing w:val="-4"/>
          <w:sz w:val="32"/>
          <w:szCs w:val="32"/>
          <w:lang w:val="en-US" w:eastAsia="zh-CN"/>
        </w:rPr>
        <w:t>加强预算绩效目标管理工作。明确预算项目绩效目标编制要求，分类别建立科学合理、细化量化、可比可测预算绩效指标体系，突出结果导向，重点考核实绩。</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借助第三方专业机构力量，贯彻落实全面预算绩效管理工作，建立全过程预算绩效管理链条，将绩效各个环节紧密贯通。</w:t>
      </w:r>
    </w:p>
    <w:p>
      <w:pPr>
        <w:snapToGrid w:val="0"/>
        <w:spacing w:line="540" w:lineRule="exact"/>
        <w:rPr>
          <w:rStyle w:val="8"/>
          <w:rFonts w:ascii="仿宋" w:hAnsi="仿宋" w:eastAsia="仿宋"/>
          <w:b w:val="0"/>
          <w:spacing w:val="-4"/>
          <w:sz w:val="32"/>
          <w:szCs w:val="32"/>
        </w:rPr>
      </w:pPr>
    </w:p>
    <w:bookmarkEnd w:id="0"/>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1E5CE1"/>
    <w:rsid w:val="04FF0482"/>
    <w:rsid w:val="05062887"/>
    <w:rsid w:val="05F70F85"/>
    <w:rsid w:val="098A3C0A"/>
    <w:rsid w:val="0ABB2594"/>
    <w:rsid w:val="0B4367B5"/>
    <w:rsid w:val="0DB67280"/>
    <w:rsid w:val="10FE60D7"/>
    <w:rsid w:val="13A77D4A"/>
    <w:rsid w:val="18061B60"/>
    <w:rsid w:val="190C3DF8"/>
    <w:rsid w:val="1B403139"/>
    <w:rsid w:val="1C6D319F"/>
    <w:rsid w:val="1D4D74D6"/>
    <w:rsid w:val="1F2854B6"/>
    <w:rsid w:val="21C768CD"/>
    <w:rsid w:val="22E14253"/>
    <w:rsid w:val="239E6A6A"/>
    <w:rsid w:val="289437EE"/>
    <w:rsid w:val="28CD3DCC"/>
    <w:rsid w:val="2EBF757D"/>
    <w:rsid w:val="31711A9B"/>
    <w:rsid w:val="31B83F5F"/>
    <w:rsid w:val="328E2AB6"/>
    <w:rsid w:val="329B12EA"/>
    <w:rsid w:val="33A83F87"/>
    <w:rsid w:val="36851B5C"/>
    <w:rsid w:val="37D360CA"/>
    <w:rsid w:val="417A34F9"/>
    <w:rsid w:val="41A37673"/>
    <w:rsid w:val="42C30950"/>
    <w:rsid w:val="468C2A4A"/>
    <w:rsid w:val="46AD2493"/>
    <w:rsid w:val="46EC7F14"/>
    <w:rsid w:val="48AF4C7F"/>
    <w:rsid w:val="4AEC375B"/>
    <w:rsid w:val="4B5831CA"/>
    <w:rsid w:val="4DA177B2"/>
    <w:rsid w:val="4DF36D4F"/>
    <w:rsid w:val="501B7C76"/>
    <w:rsid w:val="57232FC4"/>
    <w:rsid w:val="572D2326"/>
    <w:rsid w:val="59EE1E48"/>
    <w:rsid w:val="5A490F5C"/>
    <w:rsid w:val="5BDE2B83"/>
    <w:rsid w:val="5F1104D4"/>
    <w:rsid w:val="61635F72"/>
    <w:rsid w:val="618606C5"/>
    <w:rsid w:val="6E58438A"/>
    <w:rsid w:val="71EB22B3"/>
    <w:rsid w:val="748A4F72"/>
    <w:rsid w:val="75664078"/>
    <w:rsid w:val="761E4132"/>
    <w:rsid w:val="78061A79"/>
    <w:rsid w:val="7FDB1E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bCs/>
    </w:rPr>
  </w:style>
  <w:style w:type="paragraph" w:styleId="9">
    <w:name w:val="List Paragraph"/>
    <w:basedOn w:val="1"/>
    <w:unhideWhenUsed/>
    <w:qFormat/>
    <w:uiPriority w:val="99"/>
    <w:pPr>
      <w:ind w:firstLine="420" w:firstLineChars="200"/>
    </w:pPr>
  </w:style>
  <w:style w:type="character" w:customStyle="1" w:styleId="10">
    <w:name w:val="页脚 字符"/>
    <w:basedOn w:val="7"/>
    <w:link w:val="3"/>
    <w:qFormat/>
    <w:uiPriority w:val="99"/>
    <w:rPr>
      <w:sz w:val="18"/>
      <w:szCs w:val="18"/>
    </w:rPr>
  </w:style>
  <w:style w:type="character" w:customStyle="1" w:styleId="11">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6</Pages>
  <Words>637</Words>
  <Characters>712</Characters>
  <Lines>7</Lines>
  <Paragraphs>2</Paragraphs>
  <TotalTime>40</TotalTime>
  <ScaleCrop>false</ScaleCrop>
  <LinksUpToDate>false</LinksUpToDate>
  <CharactersWithSpaces>749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2021-02-24T14:26:00Z</dcterms:created>
  <dc:creator>ght-pc</dc:creator>
  <cp:lastModifiedBy>Administrator</cp:lastModifiedBy>
  <dcterms:modified xsi:type="dcterms:W3CDTF">2021-08-11T03:44:31Z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