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偿还欠款项目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新疆维吾尔自治区岳普湖县自然资源局本级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新疆维吾尔自治区岳普湖县自然资源局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孟祥思</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偿还欠款项目实施前期、过程及效果，评价财政预算资金使用的效率及效益。</w:t>
        <w:br/>
        <w:t>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</w:t>
        <w:br/>
        <w:t>2.主要内容及实施情况</w:t>
        <w:br/>
        <w:t>按期支付2014年-2015年报批建设用地勘测费项目、2016年沙化土地封禁保护工程款项目、阿其克万亩防护林缴纳水费项目、不动产登记证书款项目、国土空间总体规划和国土空间规划数据库工作经费项目、喀什地区岳普湖县胡杨王旅游风景区建设项目、科技园区勘界和新城区地形图测绘费项目、林果和蔬菜育苗中心采暖系统建设项目、林业有害生物防治资金项目、诉讼费项目、岳普湖县胡杨王旅游风景区建设项目、岳普湖县环塔里木河周边防沙治沙项目工程款、增减挂钩项目以及2020年度新一轮退耕还林项目共计14个项目以前年度应付未付的欠款。加强资金调度，优先保障欠款清偿需要。对于达到支付条件的账款，及时按照合同约定和清欠要求偿还。稳妥有序地推进清欠工作,按期偿还欠款有利于优化财政资源配置，腾出财力补短板，更有效地发挥民生财政职能，扩大公共服务供给，推动形成优质高效的公共服务供给体系，更好地满足人民日益增长的美好生活需要。</w:t>
        <w:br/>
        <w:t>项目实施前由项目负责人孟祥思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新疆维吾尔自治区岳普湖县自然资源局，新疆维吾尔自治区岳普湖县自然资源局是正科级事业部门，下设党政办公室、国土空间规划用途管制和生态修复股、林业和草原股、自然资源确权登记和耕地保护监督股、矿产和测绘地理信息股。单位主要职能是：（1）履行全民所有土地、矿产、森林、湿地、水等自然资源资产所有者职责和所有国土空间用途管制职责。贯彻执行国家自然资源和国土空间规划及测绘等法律法规，拟订相关管理办法并贯彻实施。（2）负责自然资源调查监测评价。贯彻执行自然资源调查监测评价的指标体系和统计标准，建立统一规范的自然资源调查监测评价制度。实施自然资源基础调查、专项调查和监测。负责自然资源调查监测评价成果的监督管理和信息发布。（3）负责自然资源统一确权登记工作。制定各类自然资源和不动产统一确权登记、权籍调查、不动产测绘、争议调处、成果应用的制度、标准、规范。推进自然资源和不动产登记信息管理基础平台建设。负责自然资源和不动产登记资料收集、整理、共享、汇交管理等。（4）负责自然资源资产有偿使用工作。贯彻执行全民所有自然资源资产统计制度，负责全县全民所有自然资源资产核算。编制全民所有自然资源资产负债表，拟订考核标准。执行全民所有自然资源资产划拨、出让、租赁、作价出资和土地储备政策，合理配置全民所有自然资源资产。负责自然资源资产价值评估管理，依法收缴相关资产收益。（5）负责自然资源的合理开发利用。贯彻执行自然资源发展规划，制定自然资源开发利用标准并组织实施，建立政府公示自然资源价格体系，组织开展自然资源分等定级价格评估，开展自然资源利用评价考核，指导节约集约利用。（6）负责统筹国土空间生态修复。牵头组织编制国土空间生态修复规划并实施有关生态修复重大工程。负责国土空间综合整治、土地整理复垦、矿山地质环境恢复治理、矿业遗迹保护等工作。（7）承办县委、县政府交办的其他事项。</w:t>
        <w:br/>
        <w:t>编制情况：新疆维吾尔自治区岳普湖县自然资源局行政编制17名，行政工勤编制4名，参公编制12名，事业编制17名。</w:t>
        <w:br/>
        <w:t>4.资金投入和使用情况</w:t>
        <w:br/>
        <w:t>（1）项目资金安排落实、总投入等情况分析</w:t>
        <w:br/>
        <w:t>根据《偿还欠款项目资金申请报告》和《岳普湖县财经领导小组会议纪要》等文件，年初批复部门预算数125.25万元,全年预算数为2392.72万元，其中：财政资金2392.72万元，其他资金0.00万元，预算资金到位率为100%。</w:t>
        <w:br/>
        <w:t>（2）项目资金实际使用情况分析</w:t>
        <w:br/>
        <w:t>截止2022年12月31日，本项目实际支付资金2392.72万元，预算执行率100%。项目资金主要用于偿还以前年度项目欠款等。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按照“统一部署、分工协作、共同参与”的原则，统筹协调，明确各部门职责分工、形成工作合力，有条不紊推进政府欠款清偿工作，确保按时、保质完成政府欠款清偿工作。主动与各相关部门建立联络制度和定期分析研究，切实规范债务清偿工作，确保实效。</w:t>
        <w:br/>
        <w:t>2.项目阶段性目标</w:t>
        <w:br/>
        <w:t>项目主要用于支付14个项目的欠款，确保项目款项按期及时支付，提高政府部门的履约和服务能力，增强政府公信力。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孟祥思任绩效评价组组长，绩效评价工作职责为负责全盘工作，对项目实施情况进行实地调查。</w:t>
        <w:br/>
        <w:t>王富佳、胡春祥、艾热帕提·阿卜杜凯尤木、古丽其曼·热合曼、张芳、贾汉辉任绩效评价组成员，绩效评价工作职责对项目实施情况进行实地调查，负责资料审核等工作。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2392.72万元，实际支出2392.72万元，预算执行率100%。项目资金使用合规，项目财务管理制度健全，财务监控到位，所有资金支付均按照国库集中支付制度严格执行，现有项目管理制度执行情况良好。</w:t>
        <w:br/>
        <w:t>在项目效果方面，已经支付了14个项目的欠款，通过项目的实施确保了项目款项按期及时支付，有效提高了政府部门的履约和服务能力，持续增强了政府公信力。受益收款方满意度100%。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新疆维吾尔自治区岳普湖县自然资源局项目经费管理办法》等相关管理办法，对财政资金进行严格管理，做到专款专用。项目的执行符合《新疆维吾尔自治区岳普湖县自然资源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w:t>
        <w:br/>
        <w:t>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偿还欠款项目数量年度指标值为大于等于14个，实际完成值为14个，完成预期目标，根据评分标准，该指标不扣分。</w:t>
        <w:br/>
        <w:t>产出数量三级指标共计1个，指标从实际完成情况方面进行评价，权重分值8分，实际得分8分。</w:t>
        <w:br/>
        <w:t>2.产出质量</w:t>
        <w:br/>
        <w:t>经费保障率年度指标值为等于100%，实际完成值为100%，完成预期目标，根据评分标准，该指标不扣分。</w:t>
        <w:br/>
        <w:t>经费覆盖率年度指标值为等于100%，实际完成值为100%，完成预期目标，根据评分标准，该指标不扣分。</w:t>
        <w:br/>
        <w:t>资金使用合规性年度指标值为等于100%，实际完成值为100%，完成预期目标，根据评分标准，该指标不扣分。</w:t>
        <w:br/>
        <w:t>产出质量三级指标共计3个，指标从质量达标方面进行评价，权重分值8分，实际得分8分。</w:t>
        <w:br/>
        <w:t>3.产出时效</w:t>
        <w:br/>
        <w:t>经费支付及时性年度指标值为等于100%，实际完成值为100%，完成预期目标，根据评分标准，该指标不扣分。</w:t>
        <w:br/>
        <w:t>项目完成时间年度指标值为2022年12月25日前，实际完成值为2022年12月21日，完成预期目标，根据评分标准，该指标不扣分。</w:t>
        <w:br/>
        <w:t>产出时效三级指标共计2个，指标从完成及时性方面进行评价，权重分值6分，实际得分6分。</w:t>
        <w:br/>
        <w:t>4.产出成本</w:t>
        <w:br/>
        <w:t>项目欠款偿还平均额年度指标值为小于等于170.90万元/个，实际完成值为170.90万元/个，完成预期目标，根据评分标准，该指标不扣分。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提高政府部门的履约和服务能力年度指标值为有效提高，实际完成值为有效提高，完成预期目标，根据评分标准，该指标不扣分，实际得10分。</w:t>
        <w:br/>
        <w:t>③项目实施的生态效益分析</w:t>
        <w:br/>
        <w:t>本项目无此指标。</w:t>
        <w:br/>
        <w:t>④项目实施的可持续影响分析</w:t>
        <w:br/>
        <w:t>增强政府公信力年度指标值为持续增强，实际完成值为持续增强，完成预期目标，根据评分标准，该指标不扣分，实际得10分。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加强统筹协调，压实主体责任。成立协调小组全面排查，并建立台账，提出明确的还款计划和还款方式。明确具体措施、时间节点，限期办结。对于有分歧的欠款，推动协商解决或运用法律手段来解决。资金支付坚持层层审批原则，做到操作程序规范，并严格按照资金使用的相关管理要求执行，严格资金使用范围，积极筹措资金归还短期借款。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3.基于当前经济下行压力，财政收支矛盾日益尖锐。政府综合财力的增长会受到市场整体经济发展状况的影响。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5.坚持保持稳增长与防风险两手抓，以高质量发展增强抵御风险能力。积极谋划带动性强的项目，着力培植财源，增强偿债能力，实现经济社会发展的良性循环。增强财政收入增长的可持续性。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