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both"/>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方正小标宋_GBK" w:eastAsia="方正小标宋_GBK" w:hAnsi="华文中宋" w:cs="宋体"/>
          <w:b/>
          <w:kern w:val="0"/>
          <w:sz w:val="44"/>
          <w:szCs w:val="44"/>
        </w:rPr>
      </w:pPr>
      <w:r>
        <w:rPr>
          <w:rFonts w:ascii="方正小标宋_GBK" w:eastAsia="方正小标宋_GBK" w:hAnsi="华文中宋" w:cs="宋体" w:hint="eastAsia"/>
          <w:b/>
          <w:kern w:val="0"/>
          <w:sz w:val="44"/>
          <w:szCs w:val="44"/>
        </w:rPr>
        <w:t xml:space="preserve"> 部门单位项目支出绩效评价报告</w:t>
      </w:r>
    </w:p>
    <w:p>
      <w:pPr>
        <w:spacing w:line="570" w:lineRule="exact"/>
        <w:jc w:val="center"/>
        <w:rPr>
          <w:rFonts w:ascii="华文中宋" w:eastAsia="华文中宋" w:hAnsi="华文中宋" w:cs="宋体"/>
          <w:b/>
          <w:kern w:val="0"/>
          <w:sz w:val="52"/>
          <w:szCs w:val="52"/>
        </w:rPr>
      </w:pPr>
    </w:p>
    <w:p>
      <w:pPr>
        <w:spacing w:line="57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仿宋_GB2312" w:eastAsia="仿宋_GB2312" w:hAnsi="楷体" w:hint="eastAsia"/>
          <w:spacing w:val="-4"/>
          <w:sz w:val="32"/>
          <w:szCs w:val="32"/>
        </w:rPr>
        <w:t xml:space="preserve">2024</w:t>
      </w:r>
      <w:r>
        <w:rPr>
          <w:rFonts w:ascii="方正仿宋_GBK" w:eastAsia="方正仿宋_GBK" w:hAnsi="宋体" w:cs="宋体" w:hint="eastAsia"/>
          <w:kern w:val="0"/>
          <w:sz w:val="36"/>
          <w:szCs w:val="36"/>
        </w:rPr>
        <w:t xml:space="preserve"> </w:t>
      </w:r>
      <w:r>
        <w:rPr>
          <w:rFonts w:eastAsia="仿宋_GB2312" w:hAnsi="宋体" w:cs="宋体" w:hint="eastAsia"/>
          <w:kern w:val="0"/>
          <w:sz w:val="36"/>
          <w:szCs w:val="36"/>
        </w:rPr>
        <w:t xml:space="preserve"> 年度）</w:t>
      </w: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70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项目名称：</w:t>
      </w:r>
      <w:r>
        <w:rPr>
          <w:rStyle w:val="Strong"/>
          <w:rFonts w:ascii="仿宋" w:eastAsia="仿宋" w:hAnsi="仿宋" w:cs="仿宋" w:hint="eastAsia"/>
          <w:b w:val="0"/>
          <w:bCs w:val="0"/>
          <w:spacing w:val="-4"/>
          <w:sz w:val="32"/>
          <w:szCs w:val="32"/>
        </w:rPr>
        <w:t xml:space="preserve">国有建设用地使用权出让项目</w:t>
      </w:r>
    </w:p>
    <w:p>
      <w:pPr>
        <w:spacing w:line="57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实施单位（公章）：</w:t>
      </w:r>
      <w:r>
        <w:rPr>
          <w:rStyle w:val="Strong"/>
          <w:rFonts w:ascii="仿宋" w:eastAsia="仿宋" w:hAnsi="仿宋" w:cs="仿宋" w:hint="eastAsia"/>
          <w:b w:val="0"/>
          <w:bCs w:val="0"/>
          <w:spacing w:val="-4"/>
          <w:sz w:val="32"/>
          <w:szCs w:val="32"/>
        </w:rPr>
        <w:t xml:space="preserve">岳普湖县供销社</w:t>
      </w:r>
    </w:p>
    <w:p>
      <w:pPr>
        <w:spacing w:line="540" w:lineRule="exact"/>
        <w:ind w:firstLine="360" w:firstLineChars="100"/>
        <w:rPr>
          <w:rFonts w:ascii="仿宋" w:eastAsia="仿宋" w:hAnsi="仿宋" w:cs="仿宋" w:hint="eastAsia"/>
          <w:spacing w:val="-4"/>
          <w:sz w:val="32"/>
          <w:szCs w:val="32"/>
        </w:rPr>
      </w:pPr>
      <w:r>
        <w:rPr>
          <w:rFonts w:ascii="仿宋" w:eastAsia="仿宋" w:hAnsi="仿宋" w:cs="仿宋" w:hint="eastAsia"/>
          <w:kern w:val="0"/>
          <w:sz w:val="36"/>
          <w:szCs w:val="36"/>
        </w:rPr>
        <w:t xml:space="preserve">主管部门（公章）：</w:t>
      </w:r>
      <w:r>
        <w:rPr>
          <w:rStyle w:val="Strong"/>
          <w:rFonts w:ascii="仿宋" w:eastAsia="仿宋" w:hAnsi="仿宋" w:cs="仿宋" w:hint="eastAsia"/>
          <w:b w:val="0"/>
          <w:bCs w:val="0"/>
          <w:spacing w:val="-4"/>
          <w:sz w:val="32"/>
          <w:szCs w:val="32"/>
        </w:rPr>
        <w:t xml:space="preserve">岳普湖县供销社</w:t>
      </w:r>
    </w:p>
    <w:p>
      <w:pPr>
        <w:spacing w:line="570" w:lineRule="exact"/>
        <w:ind w:firstLine="360" w:firstLineChars="100"/>
        <w:rPr>
          <w:rFonts w:ascii="仿宋" w:eastAsia="仿宋" w:hAnsi="仿宋" w:cs="仿宋"/>
          <w:spacing w:val="-4"/>
          <w:sz w:val="32"/>
          <w:szCs w:val="32"/>
        </w:rPr>
      </w:pPr>
      <w:r>
        <w:rPr>
          <w:rFonts w:ascii="仿宋" w:eastAsia="仿宋" w:hAnsi="仿宋" w:cs="仿宋" w:hint="eastAsia"/>
          <w:kern w:val="0"/>
          <w:sz w:val="36"/>
          <w:szCs w:val="36"/>
        </w:rPr>
        <w:t xml:space="preserve">项目负责人（签章）：</w:t>
      </w:r>
      <w:r>
        <w:rPr>
          <w:rStyle w:val="Strong"/>
          <w:rFonts w:ascii="仿宋" w:eastAsia="仿宋" w:hAnsi="仿宋" w:cs="仿宋" w:hint="eastAsia"/>
          <w:b w:val="0"/>
          <w:bCs w:val="0"/>
          <w:spacing w:val="-4"/>
          <w:sz w:val="32"/>
          <w:szCs w:val="32"/>
        </w:rPr>
        <w:t xml:space="preserve">宋利浩</w:t>
      </w:r>
    </w:p>
    <w:p>
      <w:pPr>
        <w:spacing w:line="540" w:lineRule="exact"/>
        <w:ind w:firstLine="360" w:firstLineChars="100"/>
        <w:rPr>
          <w:rStyle w:val="Strong"/>
          <w:rFonts w:ascii="仿宋" w:eastAsia="仿宋" w:hAnsi="仿宋" w:cs="仿宋" w:hint="eastAsia"/>
          <w:b w:val="0"/>
          <w:bCs w:val="0"/>
          <w:spacing w:val="-4"/>
          <w:sz w:val="32"/>
          <w:szCs w:val="32"/>
        </w:rPr>
      </w:pPr>
      <w:r>
        <w:rPr>
          <w:rFonts w:ascii="仿宋" w:eastAsia="仿宋" w:hAnsi="仿宋" w:cs="仿宋" w:hint="eastAsia"/>
          <w:kern w:val="0"/>
          <w:sz w:val="36"/>
          <w:szCs w:val="36"/>
        </w:rPr>
        <w:t xml:space="preserve">填报时间：</w:t>
      </w:r>
      <w:r>
        <w:rPr>
          <w:rStyle w:val="Strong"/>
          <w:rFonts w:ascii="仿宋" w:eastAsia="仿宋" w:hAnsi="仿宋" w:cs="仿宋" w:hint="eastAsia"/>
          <w:b w:val="0"/>
          <w:bCs w:val="0"/>
          <w:spacing w:val="-4"/>
          <w:sz w:val="32"/>
          <w:szCs w:val="32"/>
        </w:rPr>
        <w:t xml:space="preserve">2025年03月03日</w:t>
      </w:r>
    </w:p>
    <w:p>
      <w:pPr>
        <w:rPr>
          <w:rStyle w:val="Strong"/>
          <w:rFonts w:ascii="仿宋" w:eastAsia="仿宋" w:hAnsi="仿宋" w:cs="仿宋" w:hint="eastAsia"/>
          <w:b w:val="0"/>
          <w:bCs w:val="0"/>
          <w:spacing w:val="-4"/>
          <w:sz w:val="32"/>
          <w:szCs w:val="32"/>
        </w:rPr>
      </w:pPr>
      <w:r>
        <w:br w:type="page"/>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一、基本情况</w:t>
      </w:r>
    </w:p>
    <w:p>
      <w:pPr>
        <w:spacing w:line="570" w:lineRule="exact"/>
        <w:ind w:firstLine="640" w:firstLineChars="200"/>
        <w:rPr>
          <w:rStyle w:val="Strong"/>
          <w:rFonts w:ascii="方正楷体_GBK" w:eastAsia="方正楷体_GBK" w:hAnsi="方正楷体_GBK" w:cs="方正楷体_GBK"/>
          <w:bCs w:val="0"/>
          <w:spacing w:val="-4"/>
          <w:sz w:val="32"/>
          <w:szCs w:val="32"/>
        </w:rPr>
      </w:pPr>
      <w:r>
        <w:rPr>
          <w:rStyle w:val="Strong"/>
          <w:rFonts w:ascii="楷体" w:eastAsia="楷体" w:hAnsi="楷体" w:cs="楷体" w:hint="eastAsia"/>
          <w:bCs w:val="0"/>
          <w:spacing w:val="-4"/>
          <w:sz w:val="32"/>
          <w:szCs w:val="32"/>
        </w:rPr>
        <w:t xml:space="preserve">（一）项目概况。包括项目背景、主要内容及实施情况、资金投入和使用情况等。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1.项目背景</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遵循财政部《项目支出绩效评价管理办法》（财预〔2020〕10号）、自治区财政厅《自治区财政支出绩效评价管理暂行办法》（新财预〔2018〕189号）、喀什地区财政局《关于进一步加强和规范喀什地区项目支出“全过程”预算绩效管理结果应用的通知》（喀地财绩〔2022〕2号）等相关政策文件与规定，旨在评价本项目实施的过程及效果，评价财政预算资金使用的效率及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党的二十大和二十届三中全会明确提出加快完善国家储备体系，增强战略和应急物资储备能力，确保在自然灾害、事故灾难等突发事件中能够迅速响应。2022年中央一号文件进一步强调，要加快构建农产品和农资现代流通网络，支持各类主体协同共建供应链，推动冷链物流服务网络向农村延伸，提升农产品流通效率，保障市场供应。</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新疆维吾尔自治区积极响应中央政策，将冷链物流建设作为推动农业现代化、促进区域经济发展的重要抓手。根据《新疆维吾尔自治区现代物流业发展“十四五”规划》，自治区明确提出要构建“三级节点、三大通道、一体化网络”的冷链物流运行体系，重点建设国家骨干冷链物流基地和产销冷链集配中心，推动冷链物流与农产品生产加工、商贸业深度融合布局发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在此背景下，岳普湖县供销社作为项目实施主体，通过建设农副产品冷链保鲜批发交易市场，旨在解决农产品流通“最先一公里”和“</w:t>
      </w:r>
      <w:r>
        <w:rPr>
          <w:rStyle w:val="Strong"/>
          <w:rFonts w:ascii="仿宋" w:eastAsia="仿宋" w:hAnsi="仿宋" w:cs="仿宋" w:hint="eastAsia"/>
          <w:b w:val="0"/>
          <w:bCs w:val="0"/>
          <w:spacing w:val="-4"/>
          <w:sz w:val="32"/>
          <w:szCs w:val="32"/>
        </w:rPr>
        <w:t xml:space="preserve">“最后一公里”</w:t>
      </w:r>
      <w:r>
        <w:rPr>
          <w:rStyle w:val="Strong"/>
          <w:rFonts w:ascii="仿宋" w:eastAsia="仿宋" w:hAnsi="仿宋" w:cs="仿宋" w:hint="eastAsia"/>
          <w:b w:val="0"/>
          <w:bCs w:val="0"/>
          <w:spacing w:val="-4"/>
          <w:sz w:val="32"/>
          <w:szCs w:val="32"/>
        </w:rPr>
        <w:t xml:space="preserve">”的短板，提升农产品保鲜能力，减少产后损失，保障食品安全。项目用地以协议出让方式供给，项目资金主要用于缴纳土地出让金、契税和印花税，通过合理配置土地资源，推动土地资源的高效利用。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的实施将有效提升岳普湖县农副产品的流通效率，促进农业增效、农民增收，同时带动周边农业和相关产业发展，增加就业机会，推动县域经济高质量发展。此外，项目还将通过冷链物流设施的建设和运营，推动农产品跨区域流通，增强市场抗风险能力，为岳普湖县及周边地区提供更加安全、高效的农产品供应链服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2.主要内容及实施情况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（1）主要内容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岳普湖县泰岳农副产品冷链保鲜批发交易市场建设项目用地以协议出让方式供给岳普湖县供销社，交易宗地面积为67598平方米，项目资金主要用于缴纳土地出让金、契税和印花税。</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实施前由项目负责人宋利浩进行牵头，首先进行项目的前期调研。评估项目实施的相关性、预期绩效的可实现性、实施方案的有效性、财政资金投入可行性风险。其次在项目实施过程中结合本县的实际要求，严格按照相关文件的规定开展，在项目实施过程中不定期进行监督检查，发现问题及时整改。最后项目结束时实施单位及时进行成果验收，做好项目的后期管护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3.项目实施主体</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项目实施主体:岳普湖县供销社。</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项目实施时间：2024年9月-10月。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实施主体基本情况：该项目实施主体为岳普湖县供销社，从2014年1月1日起根据自治区人民政府有关县级供销社改革发展的意见，由集体所有制企业改革成县人民政府所属的全额事业单位。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单位主要职能是：（1）贯彻落实中央、自治区有关农村经济工作和供销合作社发展的方针、政策。参与研究和实施农村经济改革发展规划，研究制定全县合作经济发展规划，促进全县合作经济的发展。（2）指导全县供销社的改革发展，负责县本级合作经济发展和社有企业的改革发展稳定。（3）指导和管理全县供销社系统开展农村合作金融服务工作，为“三农”提供融资平台，促进农村经济发展。（4）指导全县供销合作社的组织体系建设，促进基层社加强民主管理，负责农村合作经济的指导、服务和协调，推动多种形式的经济合作与联合，发挥群体联合优势。（5）在全县农村建设现代流通服务网络体系，培育农业生产资料、日用消费品、农副产品、再生资源回收利用、烟花爆竹五大经营服务网络。（6）指导和推动全县新型合作经济组织建设。发展各类专业合作社、专业合作社联合社和消费合作社，推动合作经济向农业产业化经营全程和城乡社会化服务全方位拓展，发展农产品电子商务等现代流通业态。（7）负责管理运营本级社有资产，对基层企业行使出资人的职能；监督指导全县各基层社有资产的管理经营。（8）负责供销社人才队伍建设和干部职工培训教育，为全县各类新型合作经济组织和网点提供人才培育、政策咨询和技术服务。（9）负责县级供销社党的建设、党风廉政建设和精神文明建设以及安全生产、信访稳定工作。（10）完成县委、县政府交办的其他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实施主体编制情况：岳普湖县供销社编制内实有财政拨款开支人员6人。其中：事业管理人员6人。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4.资金投入情况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（1）项目资金安排落实情况分析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根据《国有建设用地使用权出让项目资金申请报告》等文件，年初预算数766.25万元，全年预算数为766.25万元，其中：财政资金766.25万元，其他资金0.00万元。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（2）项目资金总投入情况分析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截止2024年12月31日，实际到位项目资金766.25万元，预算资金到位率为100%。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5.资金使用情况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截止2024年12月31日，本项目实际支付资金766.25万元，预算执行率100%。项目资金主要用于缴纳土地出让金、契税和印花税。</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（二）项目绩效目标。包括总体目标和阶段性目标。</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1.项目总体目标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岳普湖县泰岳农副产品冷链保鲜批发交易市场建设项目用地以协议出让方式供给岳普湖县供销社，交易宗地面积为67598平方米，项目资金主要用于缴纳土地出让金、契税和印花税。通过项目的实施推动土地资源合理配置和利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前期准备：通过制定项目实施方案，经项目负责人审核通过后，有序开展后续工作。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组织实施：资金一到位，立即根据项目要求实施项目。项目责任人按照项目实施方案要求逐一进行项目部署安排，提高项目质量及效率性。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项目投入：本项目预算安排总额为766.25万元，为县级财力资金。</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项目产出：岳普湖县泰岳农副产品冷链保鲜批发交易市场建设项目用地以协议出让方式供给岳普湖县供销社，交易宗地面积为67598平方米，项目资金主要用于缴纳土地出让金、契税和印花税。</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项目效果：通过项目的实施，优化土地资源配置，提高土地利用效率，为县域经济发展提供支撑。项目将带动周边农业和相关产业发展，增加就业机会，促进农民增收，推动县域经济高质量发展。</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二、绩效评价工作开展情况</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（一）绩效评价目的、对象</w:t>
      </w:r>
      <w:r>
        <w:rPr>
          <w:rStyle w:val="Strong"/>
          <w:rFonts w:ascii="楷体" w:eastAsia="楷体" w:hAnsi="楷体" w:cs="楷体" w:hint="eastAsia"/>
          <w:bCs w:val="0"/>
          <w:spacing w:val="-4"/>
          <w:sz w:val="32"/>
          <w:szCs w:val="32"/>
          <w:lang w:eastAsia="zh-CN"/>
        </w:rPr>
        <w:t xml:space="preserve">、时间和</w:t>
      </w:r>
      <w:r>
        <w:rPr>
          <w:rStyle w:val="Strong"/>
          <w:rFonts w:ascii="楷体" w:eastAsia="楷体" w:hAnsi="楷体" w:cs="楷体" w:hint="eastAsia"/>
          <w:bCs w:val="0"/>
          <w:spacing w:val="-4"/>
          <w:sz w:val="32"/>
          <w:szCs w:val="32"/>
        </w:rPr>
        <w:t xml:space="preserve">范围。</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1.绩效评价完整性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完整性主要体现在绩效评价过程的全面性和系统性。涵盖了对项目全过程的完整生命周期的评价，确保评价行为持续性，有利于不同阶段的项目评价信息相互支撑和验证。保证评价结论的科学性和权威性。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项目绩效评价过程中，应全面考虑项目的各个方面，包括项目的目标设定、实施过程、资源利用、风险控制、产出效果等。此外，完整性要求评价充分考虑项目效益的发挥贡献。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为了实现项目绩效评价的完整性，建立一套科学、合理、系统的评价指标体系。评价体系能够全面反映项目的特点和要求，确保评价的准确性和有效性。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2.绩效评价目的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自治区财政厅《自治区财政支出绩效评价管理暂行办法》（新财预〔2018〕189号）、喀什地区财政局《关于进一步加强和规范喀什地区项目支出“全过程”预算绩效管理结果应用的通知》（喀地财绩〔2022〕2号）等相关政策文件的规定，对“国有建设用地使用权出让项目”开展本次部门项目支出绩效评价工作旨在评价财政项目的实施前期、过程及效果，评价财政预算资金使用的效率及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的目的是发现预算资金在项目立项、执行管理中制度保障、实际操作方面的缺陷和薄弱环节，同时总结提炼项目和部门的经验做法，为预算部门改进、完善项目管理和预算管理提供可行性参考建议。也为下一年预算编制与项目评审提供充分有效的依据，以达到改进预算管理、优化资源配置、提高预算资金使用效益的目的。具体绩效评价的目的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通过部门项目支出绩效评价，进一步严格落实《中华人民共和国预算法》（2018年修正）以及党中央、国务院关于加强预算绩效管理的指示精神，建立健全“花钱必问效、无效必问责”的绩效预算管理机制、提升财政资金的使用效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二是通过部门项目支出绩效评价，进一步做实绩效目标，根据项目绩效目标设立情况，细化形成多维度绩效指标，保证项目绩效指标设置科学、规范、合理、可衡量。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为评价工作提供更深一步的技术支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3.绩效评价对象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自治区财政厅《自治区财政支出绩效评价管理暂行办法》（新财预〔2018〕189号）、喀什地区财政局《关于进一步加强和规范喀什地区项目支出“全过程”预算绩效管理结果应用的通知》（喀地财绩〔2022〕2号）等相关政策文件的规定，以“国有建设用地使用权出让项目”支出为对象所对应的预算资金，以本项目实施所带来的产出和效果为主要内容，以促进预算单位完成特定工作任务目标所组织开展的绩效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4.绩效评价时间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本次绩效评价工作开展时间为2025年1月16日至2025年2月28日。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5.绩效评价范围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本次评价范围涵盖项目总体绩效目标、各项绩效指标完成情况以及预算执行情况。对项目预算资金支出的所有内容进行评价。包括项目决策、项目实施和项目成果验收流程等。</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（二）绩效评价原则、评价指标体系（附表说明）、评价方法、评价标准等。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1.绩效评价原则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本次绩效评价遵循的原则包括：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（1）科学公正。绩效评价应当运用科学合理的方法，按照规范的程序，对项目绩效进行客观、公正的反映。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（4）公开透明。绩效评价结果应依法依规公开，并自觉接受社会监督。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2.绩效评价指标体系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绩效评价指标体系根据《预算绩效评价共性指标体系框架》（财预〔2013〕53号）、《自治区党委 自治区人民政府关于全面实施预算绩效管理的实施意见》（新党发〔2018〕30号）、《关于印发&lt;项目支出绩效评价管理办法&gt;的通知》（财预﹝2020﹞10号）等文件精神，结合专项特点，在与专家组、绩效评价组充分协商的基础上，绩效评价组细化了该项目的绩效评价指标体系。详见附件1综合评分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一级指标为：决策、过程、产出、效益。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二级指标为：项目立项、绩效目标、资金投入、资金管理、组织实施、产出数量、产出质量、产出时效、产出成本、项目效益。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级指标为：立项依据充分性、立项程序规范性、绩效目标合理性、绩效指标明确性、预算编制科学性、资金分配合理性、资金到位率、预算执行率、资金使用合规性、管理制度健全性、制度执行有效性、项目实施管理规范性、交易宗地面积、资金使用合规率、资金保障率、资金支付及时性、资金支付完成时间、交易宗地单价、交易宗地契税、交易宗地印花税、推动土地资源合理配置和利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3.绩效评价方法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本次评价采用定量与定性评价相结合的比较法、文献法、公众评判法等方法，总分由各项指标得分汇总形成。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（1）项目决策方面：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立项依据充分性：比较法、文献法，查找法律法规政策以及规划，对比实际执行内容和政策支持内容是否匹配。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绩效目标合理性：比较法，对比分析年初编制项目支出绩效目标表与项目内容的相关性、资金的匹配性等。</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绩效指标明确性：比较法，比较分析年初编制项目支出绩效目标表是否符合双七原则，是否可衡量。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预算编制科学性：成本效益分析法，分析在产出一定的情况下，成本取值是否有依据，是否经过询价，是否按照市场最低成本编制。</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资金分配合理性：因素分析法，综合分析资金的分配依据是否充分，分配金额是否与项目实施单位需求金额一致。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（2）项目过程方面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资金到位率：比较法，资金到位率预期指标值应为100%，通过实际计算，分析实际完成值和预期指标值之间的差距和原因。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预算执行率：比较法，预算执行率预期指标值应为100%，通过实际计算，分析实际完成值和预期指标值之间的差距和原因。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资金使用合规性：文献法、实地勘察法，一是查找资金管理办法，包括专项资金管理办法和单位自有资金管理办法；二是通过查账了解具体开支情况，是否专款专用，是否按照标准支出。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制度执行有效性：比较法，结合项目实际实施过程性文件，根据已建设的财务管理制度和项目管理制度综合分析制度执行的有效性。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（3）项目产出方面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（4）项目效益方面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公众评判法、实地勘察法，通过实地勘察、问卷及抽样调查等方式评价本项目实施后社会公众或服务对象对项目实施效果的满意程度。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公众评判法：评价组采用实地访谈、远程访谈相结合方式，对本项目的实施情况进行充分调研，了解掌握资金分配、资金管理、资金使用、制度建设、制度执行情况，进行综合评价。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综合评分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计划标准：指以预先制定的目标、计划、预算、定额等作为评价标准。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行业标准：指参照国家公布的行业指标数据制定的评价标准。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历史标准：指参照历史数据制定的评价标准，为体现绩效改进的原则，在可实现的条件下应当确定相对较高的评价标准。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国有建设用地使用权出让项目”采用的是计划标准，以事先制定的目标、计划、预算、定额等预计数据作为评价财政支出绩效的标准。通过将实际完成值与预定数据进行对比，发现偏差及时通知实施单位进行限期整改并反馈整改情况。</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（三）绩效评价工作过程。</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本次评价设计了评价方案、评价指标体系，通过资料分析、调研、访谈调查等方式形成评价结论，在与项目单位沟通后确定评价意见，并出具评价报告。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1.前期准备阶段（2025年1月16日—1月18日）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项目支出绩效评价管理办法》（财预〔2020〕10号）文件精神，认真学习相关要求与规定，成立绩效评价组。绩效评价组开展项目绩效评价工作，首先开展前期调研；其次明确项目绩效目标，设计绩效评价指标体系并确定绩效评价方法；接着确定现场和非现场评价范围，设计资料清单；最后制定评价实施方案并进行论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作为绩效评价工作具体实施机构，绩效评价组成员构成如下：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宋利浩任绩效评价组组长，绩效评价工作职责为负责全盘工作，对项目实施情况进行实地调查。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王惠成、刘华全、汗孜拉·马木提任绩效评价组成员，绩效评价工作职责对项目实施情况进行实地调查，负责资料审核等工作。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2.组织实施阶段（2025年1月19日—2月10日）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组组长制定绩效评价工作方案，具体包括项目概况、评价思路、方法手段、组织实施、进度安排等。绩效评价组成员收集项目立项依据、相关会议纪要、实施方案、财政资金分配方案、支付管理情况等相关评价资料并进行梳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3.分析评价阶段（2025年2月11日—2月15日）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绩效评价组根据收集梳理的资料围绕项目立项、资金落实、业务管理、财务管理、项目产出、项目效益等内容，对照已确定的绩效评价指标进行详细全面的分析评价，逐项打分并形成绩效评价最终结果。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4.撰写与提交评价报告阶段（2025年2月16日-2月21日）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绩效评价组根据收集项目评价资料撰写绩效评价报告。按照新疆维吾尔自治区财政绩效管理信息系统绩效评价模块中的统一格式及文本框架撰写绩效评价报告并提交审核。</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5.归集档案阶段（2025年2月22日-2月28日）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建立和落实档案管理制度，由绩效评价组将项目相关资料存档，包括但不限于：评价项目基本情况和相关文件、评价实施方案、项目支付资料等相关档案。</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三、综合评价情况及评价结论</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（一）综合评价情况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经绩效评价组通过实地调研、综合分析法、问卷调查法等方式，主要采用综合分析法对项目的决策、实施、产出、效益进行综合评价分析。项目总体组织规范，在项目实施过程做到认真履职，监督到位。按照相关制度的要求，项目负责人对项目绩效监控执行情况进行跟踪监督，有效完成了本项目的工作目标，确保资金使用安全和最大效益的发挥，保障项目如期按要求完成。规范了项目档案资料的整理。项目的实施达到项目预期效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在项目决策方面：立项符合国家法律法规、国民经济发展规划和相关政策，项目立项依据充分。项目按照规定的程序申请，经过必要的研究、论证和评估，立项程序规范。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项目管理方面：本项目预算安排766.25万元，实际支出766.25万元，预算执行率100%。项目资金使用合规，项目财务管理制度健全，财务监控到位，所有资金支付均按照支付制度严格执行，现有项目管理制度执行情况良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项目效果方面：岳普湖县泰岳农副产品冷链保鲜批发交易市场建设项目用地已经以协议出让方式供给岳普湖县供销社，交易宗地面积实际达到了67598平方米，已经按规定缴纳了交易宗地土地出让金、契税和印花税。项目预算执行率为100%。通过项目的实施有效推动了土地资源合理配置和利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（二）综合评价结论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运用绩效评价组制定的评价指标体系以及财政部《项目支出绩效评价管理办法》（财预〔2020〕10号）、喀什地区财政局《关于进一步加强和规范喀什地区项目支出“全过程”预算绩效管理结果应用的通知》（喀地财绩〔2022〕2号）等文件的评分标准，通过数据采集、问卷调查及访谈等方式，对本项目进行客观评价，总分一般设置为100分，其中项目决策20分、项目过程15分、项目产出35分、项目效益30分。评价结果分为优、良、中、差四个等级：优（90分（含）—100分）；良（80分（含）—90分）；中（70分（含）—80分）；差（70分以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本项目最终评分结果：总得分为100分，绩效评级为“优”。</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具体得分情况如下: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1.项目决策指标权重为20分，得分为20分，得分率为100%。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2.项目过程指标权重为15分，得分为15分，得分率为100%。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3.项目产出指标权重为35分，得分为35分，得分率为100%。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4.项目效益指标权重为30分，得分为30分，得分率为100%。具体打分情况详见：附件1综合评分表。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项目绩效评价评分情况表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指  标 A.项目决策 B.项目过程 C.项目产出 D.项目效益 合  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权  重    20.00    15.00    35.00    30.00 100.00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得  分    20.00    15.00    35.00    30.00 100.00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得分率   100.00%   100.00%   100.00%   100.00% 100.00%</w:t>
      </w:r>
    </w:p>
    <w:p>
      <w:pPr>
        <w:spacing w:line="570" w:lineRule="exact"/>
        <w:ind w:firstLine="640" w:firstLineChars="200"/>
        <w:rPr>
          <w:rStyle w:val="Strong"/>
          <w:rFonts w:ascii="黑体" w:eastAsia="黑体" w:hAnsi="黑体" w:cs="黑体"/>
          <w:b w:val="0"/>
          <w:sz w:val="32"/>
          <w:szCs w:val="32"/>
        </w:rPr>
      </w:pPr>
      <w:r>
        <w:rPr>
          <w:rStyle w:val="Strong"/>
          <w:rFonts w:ascii="黑体" w:eastAsia="黑体" w:hAnsi="黑体" w:cs="黑体" w:hint="eastAsia"/>
          <w:b w:val="0"/>
          <w:spacing w:val="-4"/>
          <w:sz w:val="32"/>
          <w:szCs w:val="32"/>
        </w:rPr>
        <w:t xml:space="preserve">四、绩效评价指标分析 </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（一）项目决策情况。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决策类指标包括项目立项、绩效目标和资金投入三方面的内容，由6个三级指标构成，权重分值为20分，实际得分20分，得分率为100%。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1.项目立项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项目立项指标从立项依据充分性、立项程序规范性2个方面进行评价，权重分值8分，实际得分8分。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（1）立项依据充分性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该项目立项符合国家相关法律法规及发展政策，符合行业规划要求，根据《国有建设用地使用权出让项目资金申请报告》为立项依据，结合单位的管理职责和履职效能组织实施，围绕单位的本年度工作重点和工作计划制定经费预算，属于公共财政支持范围。本项目与部门内部其他相关项目不重复。部门发展规划及职能文件等归档完整。根据评分标准，该指标不扣分，实际得分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（2）立项程序规范性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决算依据编制工作计划和经费预算，经过与部门项目分管领导沟通、筛选确定经费预算计划，确定最终预算方案。项目的审批文件、材料符合相关要求，项目事前经过必要的专家论证、评估及集体决策，保障了程序的规范性。根据评价标准，该指标不扣分，实际得分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绩效目标指标从绩效目标合理性、绩效指标明确性2个方面进行评价，权重分值5分，实际得分5分。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（1）绩效目标合理性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定了《国有建设用地使用权出让项目实施方案》，明确了总体思路及目标。绩效目标表经过审核，绩效目标与实际工作内容具有相关性，预算与确定的项目投资额相匹配，对项目任务进行了详细分解。项目预期产出效益及效果符合正常的业绩水平。根据评价标准，该指标不扣分，实际得分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（2）绩效指标明确性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设置了明确的预期产出效益和效果，将绩效目标细化分解为具体的绩效指标，项目的三级指标设置与项目目标任务数相对应，绩效目标设定的绩效指标清晰、细化、可衡量。根据评价标准，该指标不扣分，实际得分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3.资金投入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资金投入指标从预算编制科学性、资金分配合理性2个方面进行评价，权重分值7分，实际得分7分。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（1）预算编制科学性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为年中追加预算，根据项目需求编制，预算编制与单位职能相匹配，预算编制经过科学论证，提供充分的测算依据佐证资料，编制准确可靠的数据和信息。确保预算内容与项目内容相匹配。项目投资额为766.25万元，主要用于缴纳土地出让金、契税和印花税。通过项目的实施推动土地资源合理配置和利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项目投资额与工作任务相匹配。预算编制的程序规范、透明，确保预算的公正性和公平性。根据评价标准，该指标不扣分，实际得分5分。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（2）资金分配合理性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项目进行全面的评估和分析，确定各个环节和部门的资金需求，确保资金的使用与项目的进展和目标实现紧密相关。通过合理的资金分配，确保项目的顺利进行，避免资金短缺或浪费，提高项目的整体效益。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分配时，优先满足关键任务的资金需求，确保项目按照计划和时间表进行。资金分配情况：交易宗地的单价每平方米不超过110元。同时，针对该宗地的契税支出，预算上限被控制在223072.50元以内。此外，交易过程中所需缴纳的印花税也被限制在不超过3717.88元的范围内。资金分配额度与项目单位实际工作内容相适应，资金分配额度合理，资金分配依据充分。根据评价标准，该指标不扣分，实际得分2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（二）项目过程情况。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过程类指标包括资金管理和组织实施两方面的内容，由6个三级指标构成，权重分值为15分，实际得分15分，得分率为100%。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1.资金管理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资金管理指标从资金到位率、预算执行率、资金使用合规性3个方面进行评价，权重分值8分，实际得分8分。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（1）资金到位率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财政资金及时足额到位，牵头单位能够及时足额按照合同约定将专项资金拨付给联合体单位，资金到位率为100%。预算资金按计划进度执行。根据评分标准，该指标不扣分，实际得分3分。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（2）预算执行率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预算编制较为详细，项目资金支出总体能够按照预算执行，预算执行率为100%。根据评分标准，该指标不扣分，实际得分3分。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（3）资金使用合规性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定了相关的制度和管理规定，对项目经费使用进行规范管理，财务制度健全、执行严格，资金的拨付有完整的审批程序和手续，资金使用符合该项目的立项批复。资金不存在截留、挤占、挪用、虚列支出等情况。根据评分标准，该指标不扣分，实际得分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2.组织实施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组织实施指标从管理制度健全性、制度执行有效性、项目实施管理规范性3个方面进行评价，权重分值7分，实际得分7分。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（1）管理制度健全性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定了《岳普湖县供销社项目经费管理办法》等相关管理办法，对财政资金进行严格管理，做到专款专用。项目的执行符合《岳普湖县供销社项目管理办法》等相关法律法规和管理规定。根据评分标准，该指标不扣分，实际得分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（2）制度执行有效性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对资金使用的合法合规性进行监督，年末对资金使用效果进行评价。项目管理、实施人员落实到位，有效按照计划执行。项目执行情况等资料齐全，项目相关手续完备，及时进行归档。根据评分标准，该指标不扣分，实际得分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（3）项目实施管理规范性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①承接主体项目管理制度健全，项目实施符合相关项目管理规定；</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②建立了实施领导机制并建立了完善的实施方案；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③建立了项目台账，台账记录全面、完整；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④能接受和配合相关部门的监督检查及绩效评价。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根据评分标准，该指标不扣分，实际得分3分。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（三）项目产出情况。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产出类指标包括产出数量、产出质量、产出时效、产出成本四方面的内容，由8个三级指标构成，权重分为35分，实际得分35分，得分率为100%。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1.产出数量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交易宗地面积年度指标值为大于等于67598平方米，实际完成值为67598平方米，完成预期目标，根据评分标准，该指标不扣分。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产出数量三级指标共计1个，指标从实际完成情况方面进行评价，权重分值9分，实际得分9分。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2.产出质量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资金使用合规率年度指标值为等于100%，实际完成值为100%，完成预期目标，根据评分标准，该指标不扣分。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资金保障率年度指标值为等于100%，实际完成值为100%，完成预期目标，根据评分标准，该指标不扣分。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产出质量三级指标共计2个，指标从质量达标方面进行评价，权重分值9分，实际得分9分。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3.产出时效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资金支付及时性年度指标值为等于100%，实际完成值为100%，完成预期目标，根据评分标准，该指标不扣分。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资金支付完成时间年度指标值为等于2024年10月23日前，实际完成值为2024年9月25日，完成预期目标，根据评分标准，该指标不扣分。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产出时效三级指标共计2个，指标从完成及时性方面进行评价，权重分值8分，实际得分8分。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4.产出成本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交易宗地单价年度指标值为小于等于110元/平方米，实际完成值为110元/平方米，完成预期目标，根据评分标准，该指标不扣分。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交易宗地契税年度指标值为小于等于223072.50元，实际完成值为223072.5元，完成预期目标，根据评分标准，该指标不扣分。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交易宗地印花税年度指标值为小于等于3717.88元，实际完成值为3717.88元，完成预期目标，根据评分标准，该指标不扣分。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产出成本三级指标共计3个，指标从成本节约情况进行评价，权重分值9分，实际得分9分。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（四）项目效益情况。</w:t>
      </w:r>
    </w:p>
    <w:p>
      <w:pPr>
        <w:spacing w:line="540" w:lineRule="exact"/>
        <w:ind w:firstLine="567"/>
        <w:rPr>
          <w:rStyle w:val="Strong"/>
          <w:rFonts w:ascii="仿宋" w:eastAsia="仿宋" w:hAnsi="仿宋" w:cs="仿宋" w:hint="eastAsia"/>
          <w:b w:val="0"/>
          <w:bCs w:val="0"/>
          <w:spacing w:val="-4"/>
          <w:sz w:val="32"/>
          <w:szCs w:val="32"/>
        </w:rPr>
      </w:pPr>
      <w:r>
        <w:rPr>
          <w:rStyle w:val="Strong"/>
          <w:rFonts w:ascii="仿宋" w:eastAsia="仿宋" w:hAnsi="仿宋" w:cs="仿宋" w:hint="eastAsia"/>
          <w:b w:val="0"/>
          <w:bCs w:val="0"/>
          <w:spacing w:val="-4"/>
          <w:sz w:val="32"/>
          <w:szCs w:val="32"/>
        </w:rPr>
        <w:t xml:space="preserve">效益类指标包括项目效益1个方面的内容，由1个三级指标构成，权重分为30分，实际得分30分，得分率为100%。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（1）实施效益指标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实施效益指标从项目实施所产生的效益方面进行评价，权重分值30分，实际得分30分。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①项目实施的经济效益分析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本项目无此指标。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②项目实施的社会效益分析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推动土地资源合理配置和利用年度指标值为有效推动，实际完成值为有效推动，完成预期目标，根据评分标准，该指标不扣分。实际得30分。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③项目实施的生态效益分析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本项目无此指标。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④项目实施的可持续影响分析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本项目无此指标。</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w:t>
      </w:r>
      <w:r>
        <w:rPr>
          <w:rFonts w:ascii="楷体" w:eastAsia="楷体" w:hAnsi="楷体" w:cs="楷体" w:hint="eastAsia"/>
          <w:b/>
          <w:spacing w:val="-4"/>
          <w:sz w:val="32"/>
          <w:szCs w:val="32"/>
          <w:lang w:val="en-US" w:eastAsia="zh-CN"/>
        </w:rPr>
        <w:t xml:space="preserve">五</w:t>
      </w:r>
      <w:r>
        <w:rPr>
          <w:rFonts w:ascii="楷体" w:eastAsia="楷体" w:hAnsi="楷体" w:cs="楷体" w:hint="eastAsia"/>
          <w:b/>
          <w:spacing w:val="-4"/>
          <w:sz w:val="32"/>
          <w:szCs w:val="32"/>
        </w:rPr>
        <w:t xml:space="preserve">）满意度指标完成情况分析。</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本项目无此指标。</w:t>
      </w:r>
    </w:p>
    <w:p>
      <w:pPr>
        <w:spacing w:line="570" w:lineRule="exact"/>
        <w:ind w:firstLine="640" w:firstLineChars="200"/>
        <w:rPr>
          <w:rStyle w:val="Strong"/>
          <w:rFonts w:ascii="黑体" w:eastAsia="黑体" w:hAnsi="黑体" w:cs="黑体"/>
          <w:b w:val="0"/>
          <w:spacing w:val="-4"/>
          <w:sz w:val="32"/>
          <w:szCs w:val="32"/>
        </w:rPr>
      </w:pPr>
      <w:bookmarkStart w:id="0" w:name="_GoBack"/>
      <w:bookmarkEnd w:id="0"/>
      <w:r>
        <w:rPr>
          <w:rStyle w:val="Strong"/>
          <w:rFonts w:ascii="黑体" w:eastAsia="黑体" w:hAnsi="黑体" w:cs="黑体" w:hint="eastAsia"/>
          <w:b w:val="0"/>
          <w:spacing w:val="-4"/>
          <w:sz w:val="32"/>
          <w:szCs w:val="32"/>
        </w:rPr>
        <w:t xml:space="preserve">五、预算执行进度与绩效指标偏差</w:t>
      </w:r>
    </w:p>
    <w:p>
      <w:pPr>
        <w:spacing w:line="540" w:lineRule="exact"/>
        <w:ind w:firstLine="567"/>
        <w:rPr>
          <w:rFonts w:ascii="仿宋" w:eastAsia="仿宋" w:hAnsi="仿宋" w:cs="仿宋"/>
          <w:spacing w:val="-4"/>
          <w:sz w:val="32"/>
          <w:szCs w:val="32"/>
        </w:rPr>
      </w:pPr>
      <w:r>
        <w:rPr>
          <w:rStyle w:val="Strong"/>
          <w:rFonts w:ascii="仿宋" w:eastAsia="仿宋" w:hAnsi="仿宋" w:cs="仿宋" w:hint="eastAsia"/>
          <w:b w:val="0"/>
          <w:bCs w:val="0"/>
          <w:spacing w:val="-4"/>
          <w:sz w:val="32"/>
          <w:szCs w:val="32"/>
        </w:rPr>
        <w:t xml:space="preserve">“国有建设用地使用权出让项目”预算执行率与绩效指标完成率不存在偏差，项目预算执行率为100%，项目绩效指标总体完成率为100%。</w:t>
      </w:r>
    </w:p>
    <w:p>
      <w:pPr>
        <w:spacing w:line="570" w:lineRule="exact"/>
        <w:ind w:firstLine="640" w:firstLineChars="200"/>
        <w:rPr>
          <w:rStyle w:val="Strong"/>
          <w:rFonts w:ascii="黑体" w:eastAsia="黑体" w:hAnsi="黑体" w:cs="黑体" w:hint="eastAsia"/>
          <w:b w:val="0"/>
          <w:spacing w:val="-4"/>
          <w:sz w:val="32"/>
          <w:szCs w:val="32"/>
          <w:lang w:eastAsia="zh-CN"/>
        </w:rPr>
      </w:pPr>
      <w:r>
        <w:rPr>
          <w:rStyle w:val="Strong"/>
          <w:rFonts w:ascii="黑体" w:eastAsia="黑体" w:hAnsi="黑体" w:cs="黑体" w:hint="eastAsia"/>
          <w:b w:val="0"/>
          <w:spacing w:val="-4"/>
          <w:sz w:val="32"/>
          <w:szCs w:val="32"/>
        </w:rPr>
        <w:t xml:space="preserve">六、主要经验及做法、存在的问题及原因分析</w:t>
      </w:r>
      <w:r>
        <w:rPr>
          <w:rStyle w:val="Strong"/>
          <w:rFonts w:ascii="黑体" w:eastAsia="黑体" w:hAnsi="黑体" w:cs="黑体" w:hint="eastAsia"/>
          <w:b w:val="0"/>
          <w:spacing w:val="-4"/>
          <w:sz w:val="32"/>
          <w:szCs w:val="32"/>
          <w:lang w:eastAsia="zh-CN"/>
        </w:rPr>
        <w:t xml:space="preserve">、下一步改进措施</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（一）主要经验及做法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精准规划与需求调研。组建专业调研团队，深入走访县内各大农产品种植、养殖基地，与农户、农业合作社负责人交流，收集农产品产量、品类、季节性特点等信息。同时，分析本地及周边市场对农产品冷链保鲜及批发交易的需求趋势，结合县域土地利用规划，精准确定项目用地规模。依据调研结果，合理规划市场功能分区，确保项目建设贴合实际需求，为土地资源合理利用奠定基础。</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高效沟通与多方协作。在项目推进过程中，积极与县自然资源局、住建局、财政局等多部门沟通协调。就协议出让土地事宜，与自然资源局保持密切联系，及时提交相关材料，跟进审批进度，确保土地顺利出让。与财政局协同，合理安排项目资金，确保土地出让金、契税和印花税按时缴纳。与住建局等部门合作，优化项目建设审批流程，缩短审批时间，保障项目建设顺利开展，提高了项目推进效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（二）存在的问题及原因分析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1.专业人才短缺。农副产品冷链保鲜批发交易市场建设和运营</w:t>
      </w:r>
      <w:r>
        <w:rPr>
          <w:rStyle w:val="Strong"/>
          <w:rFonts w:ascii="仿宋" w:eastAsia="仿宋" w:hAnsi="仿宋" w:cs="仿宋" w:hint="eastAsia"/>
          <w:b w:val="0"/>
          <w:bCs w:val="0"/>
          <w:spacing w:val="-4"/>
          <w:sz w:val="32"/>
          <w:szCs w:val="32"/>
        </w:rPr>
        <w:t xml:space="preserve">涉及</w:t>
      </w:r>
      <w:r>
        <w:rPr>
          <w:rStyle w:val="Strong"/>
          <w:rFonts w:ascii="仿宋" w:eastAsia="仿宋" w:hAnsi="仿宋" w:cs="仿宋" w:hint="eastAsia"/>
          <w:b w:val="0"/>
          <w:bCs w:val="0"/>
          <w:spacing w:val="-4"/>
          <w:sz w:val="32"/>
          <w:szCs w:val="32"/>
        </w:rPr>
        <w:t xml:space="preserve">冷链技术、物流管理、市场运营等多个专业领域，而供销社现有的专业人才储备不足。冷链技术是项目运营的核心，涉及制冷设备维护、温湿度控制、保鲜技术应用等专业领域。然而，供销社现有人员大多缺乏相关技术背景，难以胜任技术操作和维护工作；其次，农副产品冷链物流具有复杂性、时效性和协调性等特点，要求从业人员具备较强的物流规划、调度和管理能力。然而，供销社现有人员对现代物流管理理念和技术掌握不足，难以实现高效的物流运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风险防控机制尚需完善。在项目实施进程中，尽管已构建风险防控机制，但实际运作时暴露出诸多短板。风险识别层面，仅聚焦于常见的土地手续、资金与政策等方面，却忽视了一些潜在风险。比如，对农副产品市场需求的季节性波动及消费偏好的快速转变预估不足。当市场突然流行某种新型健康农产品，而项目所规划的交易品类未能及时跟进，就可能导致交易市场的吸引力下降。同时，在自然因素方面，对极端天气可能引发的农产品减产、运输受阻等风险缺乏充分考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（三）下一步改进措施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内部培训赋能，外部精准引才。通过制定详细的内部培训计划，邀请行业资深制冷设备工程师开展冷链技术讲座，组织员工前往专业基地实操培训，同时安排内部经验丰富的员工分享物流实践经验，邀请物流专家讲解现代物流知识并组织模拟设计讨论，提升员工专业能力；设立专门人才引进小组，在各大招聘平台发布信息，高薪聘请有丰富经验的冷链技术与物流管理人才，提供优厚待遇吸引人才；与开设相关专业的高校建立长期合作，设立奖学金吸引优秀学生，邀请高校教师指导并选派员工进修，利用高校科研资源开展研发，为项目提供人才储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拓宽风险识别维度，优化风险评估应对。组建跨部门风险识别小组，成员涵盖市场调研、农产品专家、物流专员及风险管理专业人士，定期开展研讨会，运用头脑风暴法挖掘潜在风险，深入分析市场需求波动规律，结合消费趋势报告调整交易品类规划，与气象和</w:t>
      </w:r>
      <w:r>
        <w:rPr>
          <w:rStyle w:val="Strong"/>
          <w:rFonts w:ascii="仿宋" w:eastAsia="仿宋" w:hAnsi="仿宋" w:cs="仿宋" w:hint="eastAsia"/>
          <w:b w:val="0"/>
          <w:bCs w:val="0"/>
          <w:spacing w:val="-4"/>
          <w:sz w:val="32"/>
          <w:szCs w:val="32"/>
        </w:rPr>
        <w:t xml:space="preserve">农业农村部</w:t>
      </w:r>
      <w:r>
        <w:rPr>
          <w:rStyle w:val="Strong"/>
          <w:rFonts w:ascii="仿宋" w:eastAsia="仿宋" w:hAnsi="仿宋" w:cs="仿宋" w:hint="eastAsia"/>
          <w:b w:val="0"/>
          <w:bCs w:val="0"/>
          <w:spacing w:val="-4"/>
          <w:sz w:val="32"/>
          <w:szCs w:val="32"/>
        </w:rPr>
        <w:t xml:space="preserve">门合作获取预警及受灾信息并制定预案；引入先进风险评估模型量化评估风险，根据等级制定应对措施，如针对市场需求变化建立灵活调整机制，提前与多产区合作应对农产品减产风险，优化物流路线规划应对运输受阻风险；定期全面审查风险防控机制，根据市场、政策及项目运营情况更新识别清单与应对措施，组织员工培训，提升风险意识与应对能力，保障项目稳定运营。</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七、有关建议</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建议积极争取产业扶持资金。深入研究国家及自治区政府出台的关于农业产业发展、冷链物流建设等方面的扶持政策。积极申报各类产业扶持资金项目，如国家现代农业产业园创建项目、地方冷链物流专项补贴等。组织专业团队精心编制申报材料，突出项目在促进本地农业产业升级、带动农民增收、完善农产品流通体系等方面的重要作用与显著成效。与相关政府部门保持密切沟通，及时了解项目申报进度与反馈意见，提高项目申报成功率，为项目建设与运营争取更多财政资金支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建议加强行业交流与合作。积极参与各类农产品行业协会组织的活动，如全国农产品冷链物流大会、地方农产品展销会等，加强与行业内企业、专家的交流与合作。在活动中，展示市场建设成果、特色农产品以及先进的冷链物流技术，提升市场在行业内的知名度与影响力。同时，学习借鉴其他地区先进的市场运营管理经验，引进先进的农产品保鲜技术、物流配送模式等，不断优化市场运营管理。与周边地区的农副产品交易市场建立合作联盟，开展信息共享、资源互补、联合促销等活动，共同拓展市场空间，提高区域农产品市场整体竞争力，促进市场繁荣发展，实现土地资源利用效益最大化。</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建议打造特色农产品品牌，拓展电商销售渠道。依托岳普湖县丰富的农产品资源，充分发挥岳普湖县农副产品冷链保鲜批发交易市场的集聚优势，联合本地优质农产品生产企业、农户，共同打造具有地域特色的农产品品牌。积极搭建专属的农产品电商平台，充分整合市场内商户资源，集中展示和销售各类经冷链保鲜的农副产品，突出冷链保鲜产品的新鲜度与品质。设置专门的冷链产品展示区，详细介绍各类农产品的冷链存储条件、保鲜时长等信息，提升用户购物体验。</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八、其他需要说明的问题</w:t>
      </w:r>
    </w:p>
    <w:p>
      <w:pPr>
        <w:spacing w:line="540" w:lineRule="exact"/>
        <w:ind w:firstLine="567"/>
        <w:rPr>
          <w:rStyle w:val="Strong"/>
          <w:rFonts w:ascii="仿宋" w:eastAsia="仿宋" w:hAnsi="仿宋"/>
          <w:b w:val="0"/>
          <w:spacing w:val="-4"/>
          <w:sz w:val="32"/>
          <w:szCs w:val="32"/>
        </w:rPr>
      </w:pPr>
      <w:r>
        <w:rPr>
          <w:rStyle w:val="Strong"/>
          <w:rFonts w:ascii="仿宋" w:eastAsia="仿宋" w:hAnsi="仿宋" w:cs="仿宋" w:hint="eastAsia"/>
          <w:b w:val="0"/>
          <w:bCs w:val="0"/>
          <w:spacing w:val="-4"/>
          <w:sz w:val="32"/>
          <w:szCs w:val="32"/>
        </w:rPr>
        <w:t xml:space="preserve">我单位对上述项目支出绩效评价报告内反映内容的真实性、完整性负责，接受上级部门及社会公众监督。</w:t>
      </w:r>
    </w:p>
    <w:sectPr>
      <w:footerReference w:type="default" r:id="rId2"/>
      <w:pgSz w:w="11906" w:h="16838" w:orient="portrait"/>
      <w:pgMar w:top="1440" w:right="1558" w:bottom="1440" w:left="1800" w:header="851" w:footer="992" w:gutter="0"/>
      <w:pgBorders/>
      <w:cols w:num="1" w:space="425">
        <w:col w:w="8548"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3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OTc0ZGFmZGVlMTU2YmFlODYzODJmYzUzZGI2NmMwNGE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qFormat/>
    <w:rPr>
      <w:rFonts w:ascii="Calibri" w:eastAsia="宋体" w:hAnsi="Calibri"/>
      <w:kern w:val="2"/>
      <w:sz w:val="18"/>
      <w:szCs w:val="18"/>
    </w:rPr>
  </w:style>
  <w:style w:type="character" w:customStyle="1" w:styleId="页脚字符">
    <w:name w:val="页脚 字符"/>
    <w:basedOn w:val="DefaultParagraphFont"/>
    <w:link w:val="Footer"/>
    <w:uiPriority w:val="99"/>
    <w:qFormat/>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Template>
  <TotalTime>0</TotalTime>
  <Pages>3</Pages>
  <Words>341</Words>
  <Characters>646</Characters>
  <Application>WPS Office_11.1.0.14036_F1E327BC-269C-435d-A152-05C5408002CA</Application>
  <DocSecurity>0</DocSecurity>
  <Lines>5</Lines>
  <Paragraphs>1</Paragraphs>
  <Company>Microsoft</Company>
  <CharactersWithSpaces>652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ksjx-admin</cp:lastModifiedBy>
  <cp:revision>19</cp:revision>
  <cp:lastPrinted>2018-12-31T10:56:00Z</cp:lastPrinted>
  <dcterms:created xsi:type="dcterms:W3CDTF">2022-01-14T05:11:00Z</dcterms:created>
  <dcterms:modified xsi:type="dcterms:W3CDTF">2025-03-26T11:27:46Z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2052-11.1.0.14036</vt:lpwstr>
  </property>
  <property fmtid="{D5CDD505-2E9C-101B-9397-08002B2CF9AE}" pid="3" name="ICV">
    <vt:lpwstr>299A846E7742483FADE25949A45A48D3_12</vt:lpwstr>
  </property>
</Properties>
</file>