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喀什经济开发区岳普湖产业园2024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6CE991">
      <w:r>
        <w:br w:type="page"/>
      </w:r>
    </w:p>
    <w:p w14:paraId="38C498E0">
      <w:pPr>
        <w:spacing w:line="640" w:lineRule="exact"/>
        <w:jc w:val="center"/>
        <w:outlineLvl w:val="1"/>
      </w:pPr>
      <w:r>
        <w:rPr>
          <w:rFonts w:ascii="黑体" w:hAnsi="黑体" w:eastAsia="黑体"/>
          <w:sz w:val="32"/>
        </w:rPr>
        <w:t>第一部分 单位概况</w:t>
      </w:r>
    </w:p>
    <w:p w14:paraId="4099DAF8">
      <w:pPr>
        <w:spacing w:line="640" w:lineRule="exact"/>
        <w:ind w:firstLine="640"/>
        <w:jc w:val="both"/>
        <w:outlineLvl w:val="2"/>
      </w:pPr>
      <w:r>
        <w:rPr>
          <w:rFonts w:ascii="黑体" w:hAnsi="黑体" w:eastAsia="黑体"/>
          <w:sz w:val="32"/>
        </w:rPr>
        <w:t>一、主要职能</w:t>
      </w:r>
    </w:p>
    <w:p w14:paraId="7452B0F2">
      <w:pPr>
        <w:spacing w:line="580" w:lineRule="exact"/>
        <w:ind w:firstLine="640"/>
        <w:jc w:val="both"/>
      </w:pPr>
      <w:r>
        <w:rPr>
          <w:rFonts w:ascii="仿宋_GB2312" w:hAnsi="仿宋_GB2312" w:eastAsia="仿宋_GB2312"/>
          <w:sz w:val="32"/>
        </w:rPr>
        <w:t>宣传贯彻执行喀什经济开发区及援疆省市产业扶持政策；制定园区规划；统筹协调园区企业服务相关措施的制定和实施；协调企业与政府、职能部门、行业协会之间的双向沟通联系；做好招</w:t>
      </w:r>
      <w:r>
        <w:rPr>
          <w:rFonts w:hint="eastAsia" w:ascii="仿宋_GB2312" w:hAnsi="仿宋_GB2312" w:eastAsia="仿宋_GB2312"/>
          <w:sz w:val="32"/>
          <w:lang w:eastAsia="zh-CN"/>
        </w:rPr>
        <w:t>商引资</w:t>
      </w:r>
      <w:r>
        <w:rPr>
          <w:rFonts w:ascii="仿宋_GB2312" w:hAnsi="仿宋_GB2312" w:eastAsia="仿宋_GB2312"/>
          <w:sz w:val="32"/>
        </w:rPr>
        <w:t>前置服务，营造一流营商环境，搭建企业交流合作平台；做好项目建设服务工作。</w:t>
      </w:r>
    </w:p>
    <w:p w14:paraId="2AF50770">
      <w:pPr>
        <w:spacing w:line="640" w:lineRule="exact"/>
        <w:ind w:firstLine="640"/>
        <w:jc w:val="both"/>
        <w:outlineLvl w:val="2"/>
      </w:pPr>
      <w:r>
        <w:rPr>
          <w:rFonts w:ascii="黑体" w:hAnsi="黑体" w:eastAsia="黑体"/>
          <w:sz w:val="32"/>
        </w:rPr>
        <w:t>二、机构设置及人员情况</w:t>
      </w:r>
    </w:p>
    <w:p w14:paraId="57B17EDA">
      <w:pPr>
        <w:spacing w:line="580" w:lineRule="exact"/>
        <w:ind w:firstLine="640"/>
        <w:jc w:val="both"/>
      </w:pPr>
      <w:r>
        <w:rPr>
          <w:rFonts w:ascii="仿宋_GB2312" w:hAnsi="仿宋_GB2312" w:eastAsia="仿宋_GB2312"/>
          <w:sz w:val="32"/>
        </w:rPr>
        <w:t>喀什经济开发区岳普湖产业园2024年度，实有人数6人，其中：在职人员6人，增加1人；离休人员0人，增加0人；退休人员0人,增加0人。</w:t>
      </w:r>
    </w:p>
    <w:p w14:paraId="189380A9">
      <w:pPr>
        <w:spacing w:line="580" w:lineRule="exact"/>
        <w:ind w:firstLine="640"/>
        <w:jc w:val="both"/>
      </w:pPr>
      <w:r>
        <w:rPr>
          <w:rFonts w:ascii="仿宋_GB2312" w:hAnsi="仿宋_GB2312" w:eastAsia="仿宋_GB2312"/>
          <w:sz w:val="32"/>
        </w:rPr>
        <w:t>喀什经济开发区岳普湖产业园无下属预算单位，下设1个科室，分别是：综合办公室。</w:t>
      </w:r>
    </w:p>
    <w:p w14:paraId="036AADFF">
      <w:r>
        <w:br w:type="page"/>
      </w:r>
    </w:p>
    <w:p w14:paraId="2B4D8316">
      <w:pPr>
        <w:spacing w:line="240" w:lineRule="auto"/>
        <w:jc w:val="center"/>
        <w:outlineLvl w:val="1"/>
      </w:pPr>
      <w:r>
        <w:rPr>
          <w:rFonts w:ascii="黑体" w:hAnsi="黑体" w:eastAsia="黑体"/>
          <w:sz w:val="32"/>
        </w:rPr>
        <w:t>第二部分 部门决算情况说明</w:t>
      </w:r>
    </w:p>
    <w:p w14:paraId="4E8E9DF3">
      <w:pPr>
        <w:spacing w:line="640" w:lineRule="exact"/>
        <w:ind w:firstLine="640"/>
        <w:jc w:val="both"/>
        <w:outlineLvl w:val="2"/>
      </w:pPr>
      <w:r>
        <w:rPr>
          <w:rFonts w:ascii="黑体" w:hAnsi="黑体" w:eastAsia="黑体"/>
          <w:sz w:val="32"/>
        </w:rPr>
        <w:t>一、收入支出决算总体情况说明</w:t>
      </w:r>
    </w:p>
    <w:p w14:paraId="7E4502B0">
      <w:pPr>
        <w:spacing w:line="580" w:lineRule="exact"/>
        <w:ind w:firstLine="640"/>
        <w:jc w:val="both"/>
      </w:pPr>
      <w:r>
        <w:rPr>
          <w:rFonts w:ascii="仿宋_GB2312" w:hAnsi="仿宋_GB2312" w:eastAsia="仿宋_GB2312"/>
          <w:b/>
          <w:sz w:val="32"/>
        </w:rPr>
        <w:t>2024年度收入总计2,660.84万元，</w:t>
      </w:r>
      <w:r>
        <w:rPr>
          <w:rFonts w:ascii="仿宋_GB2312" w:hAnsi="仿宋_GB2312" w:eastAsia="仿宋_GB2312"/>
          <w:b w:val="0"/>
          <w:sz w:val="32"/>
        </w:rPr>
        <w:t>其中：本年收入合计2,660.84万元，使用非财政拨款结余（含专用结余）0.00万元，年初结转和结余0.00万元。</w:t>
      </w:r>
    </w:p>
    <w:p w14:paraId="71623FE6">
      <w:pPr>
        <w:spacing w:line="580" w:lineRule="exact"/>
        <w:ind w:firstLine="640"/>
        <w:jc w:val="both"/>
      </w:pPr>
      <w:r>
        <w:rPr>
          <w:rFonts w:ascii="仿宋_GB2312" w:hAnsi="仿宋_GB2312" w:eastAsia="仿宋_GB2312"/>
          <w:b/>
          <w:sz w:val="32"/>
        </w:rPr>
        <w:t>2024年度支出总计2,660.84万元，</w:t>
      </w:r>
      <w:r>
        <w:rPr>
          <w:rFonts w:ascii="仿宋_GB2312" w:hAnsi="仿宋_GB2312" w:eastAsia="仿宋_GB2312"/>
          <w:b w:val="0"/>
          <w:sz w:val="32"/>
        </w:rPr>
        <w:t>其中：本年支出合计2,660.84万元，结余分配0.00万元，年末结转和结余0.00万元。</w:t>
      </w:r>
    </w:p>
    <w:p w14:paraId="0C7B7C4D">
      <w:pPr>
        <w:spacing w:line="580" w:lineRule="exact"/>
        <w:ind w:firstLine="640"/>
        <w:jc w:val="both"/>
      </w:pPr>
      <w:r>
        <w:rPr>
          <w:rFonts w:ascii="仿宋_GB2312" w:hAnsi="仿宋_GB2312" w:eastAsia="仿宋_GB2312"/>
          <w:b w:val="0"/>
          <w:sz w:val="32"/>
        </w:rPr>
        <w:t>收入支出总体与上年相比，增加1,638.63万元，增长160.30%，主要原因是：本年在职人员增加，人员工资调增，人员经费增加；增加喀什经济开发区岳普湖产业园建设项目。</w:t>
      </w:r>
    </w:p>
    <w:p w14:paraId="49613020">
      <w:pPr>
        <w:spacing w:line="640" w:lineRule="exact"/>
        <w:ind w:firstLine="640"/>
        <w:jc w:val="both"/>
        <w:outlineLvl w:val="2"/>
      </w:pPr>
      <w:r>
        <w:rPr>
          <w:rFonts w:ascii="黑体" w:hAnsi="黑体" w:eastAsia="黑体"/>
          <w:sz w:val="32"/>
        </w:rPr>
        <w:t>二、收入决算情况说明</w:t>
      </w:r>
    </w:p>
    <w:p w14:paraId="3ED17C2D">
      <w:pPr>
        <w:spacing w:line="580" w:lineRule="exact"/>
        <w:ind w:firstLine="640"/>
        <w:jc w:val="both"/>
      </w:pPr>
      <w:r>
        <w:rPr>
          <w:rFonts w:ascii="仿宋_GB2312" w:hAnsi="仿宋_GB2312" w:eastAsia="仿宋_GB2312"/>
          <w:b/>
          <w:sz w:val="32"/>
        </w:rPr>
        <w:t>本年收入2,660.84万元，</w:t>
      </w:r>
      <w:r>
        <w:rPr>
          <w:rFonts w:ascii="仿宋_GB2312" w:hAnsi="仿宋_GB2312" w:eastAsia="仿宋_GB2312"/>
          <w:b w:val="0"/>
          <w:sz w:val="32"/>
        </w:rPr>
        <w:t>其中：财政拨款收入2,660.84万元，占100.00%；上级补助收入0.00万元，占0.00%；事业收入0.00万元，占0.00%；经营收入0.00万元，占0.00%；附属单位上缴收入0.00万元，占0.00%；其他收入0.00万元，占0.00%。</w:t>
      </w:r>
    </w:p>
    <w:p w14:paraId="215FA449">
      <w:pPr>
        <w:spacing w:line="640" w:lineRule="exact"/>
        <w:ind w:firstLine="640"/>
        <w:jc w:val="both"/>
        <w:outlineLvl w:val="2"/>
      </w:pPr>
      <w:r>
        <w:rPr>
          <w:rFonts w:ascii="黑体" w:hAnsi="黑体" w:eastAsia="黑体"/>
          <w:sz w:val="32"/>
        </w:rPr>
        <w:t>三、支出决算情况说明</w:t>
      </w:r>
    </w:p>
    <w:p w14:paraId="09540DF2">
      <w:pPr>
        <w:spacing w:line="580" w:lineRule="exact"/>
        <w:ind w:firstLine="640"/>
        <w:jc w:val="both"/>
      </w:pPr>
      <w:r>
        <w:rPr>
          <w:rFonts w:ascii="仿宋_GB2312" w:hAnsi="仿宋_GB2312" w:eastAsia="仿宋_GB2312"/>
          <w:b/>
          <w:sz w:val="32"/>
        </w:rPr>
        <w:t>本年支出2,660.84万元，</w:t>
      </w:r>
      <w:r>
        <w:rPr>
          <w:rFonts w:ascii="仿宋_GB2312" w:hAnsi="仿宋_GB2312" w:eastAsia="仿宋_GB2312"/>
          <w:b w:val="0"/>
          <w:sz w:val="32"/>
        </w:rPr>
        <w:t>其中：基本支出88.73万元，占3.33%；项目支出2,572.11万元，占96.67%；上缴上级支出0.00万元，占0.00%；经营支出0.00万元，占0.00%；对附属单位补助支出0.00万元，占0.00%。</w:t>
      </w:r>
    </w:p>
    <w:p w14:paraId="34E45766">
      <w:pPr>
        <w:spacing w:line="640" w:lineRule="exact"/>
        <w:ind w:firstLine="640"/>
        <w:jc w:val="both"/>
        <w:outlineLvl w:val="2"/>
      </w:pPr>
      <w:r>
        <w:rPr>
          <w:rFonts w:ascii="黑体" w:hAnsi="黑体" w:eastAsia="黑体"/>
          <w:sz w:val="32"/>
        </w:rPr>
        <w:t>四、财政拨款收入支出决算总体情况说明</w:t>
      </w:r>
    </w:p>
    <w:p w14:paraId="386E4FCD">
      <w:pPr>
        <w:spacing w:line="580" w:lineRule="exact"/>
        <w:ind w:firstLine="640"/>
        <w:jc w:val="both"/>
      </w:pPr>
      <w:r>
        <w:rPr>
          <w:rFonts w:ascii="仿宋_GB2312" w:hAnsi="仿宋_GB2312" w:eastAsia="仿宋_GB2312"/>
          <w:b/>
          <w:sz w:val="32"/>
        </w:rPr>
        <w:t>2024年度财政拨款收入总计2,660.84万元，</w:t>
      </w:r>
      <w:r>
        <w:rPr>
          <w:rFonts w:ascii="仿宋_GB2312" w:hAnsi="仿宋_GB2312" w:eastAsia="仿宋_GB2312"/>
          <w:b w:val="0"/>
          <w:sz w:val="32"/>
        </w:rPr>
        <w:t>其中：年初财政拨款结转和结余0.00万元，本年财政拨款收入2,660.84万元。</w:t>
      </w:r>
      <w:r>
        <w:rPr>
          <w:rFonts w:ascii="仿宋_GB2312" w:hAnsi="仿宋_GB2312" w:eastAsia="仿宋_GB2312"/>
          <w:b/>
          <w:sz w:val="32"/>
        </w:rPr>
        <w:t>财政拨款支出总计2,660.84万元，</w:t>
      </w:r>
      <w:r>
        <w:rPr>
          <w:rFonts w:ascii="仿宋_GB2312" w:hAnsi="仿宋_GB2312" w:eastAsia="仿宋_GB2312"/>
          <w:b w:val="0"/>
          <w:sz w:val="32"/>
        </w:rPr>
        <w:t>其中：年末财政拨款结转和结余0.00万元，本年财政拨款支出2,660.84万元。</w:t>
      </w:r>
    </w:p>
    <w:p w14:paraId="594222D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增加1,907.75万元，增长253.32%，主要原因是：本年在职人员增加，人员工资调增，人员经费增加；增加喀什经济开发区岳普湖产业园建设项目。</w:t>
      </w:r>
      <w:r>
        <w:rPr>
          <w:rFonts w:ascii="仿宋_GB2312" w:hAnsi="仿宋_GB2312" w:eastAsia="仿宋_GB2312"/>
          <w:b/>
          <w:sz w:val="32"/>
        </w:rPr>
        <w:t>与年初预算相比，</w:t>
      </w:r>
      <w:r>
        <w:rPr>
          <w:rFonts w:ascii="仿宋_GB2312" w:hAnsi="仿宋_GB2312" w:eastAsia="仿宋_GB2312"/>
          <w:b w:val="0"/>
          <w:sz w:val="32"/>
        </w:rPr>
        <w:t>年初预算数686.62万元，决算数2,660.84万元，预决算差异率287.53%，主要原因是：年中追加喀什经济开发区岳普湖产业园建设项目，导致预决算存在差异。</w:t>
      </w:r>
    </w:p>
    <w:p w14:paraId="43EFAEC2">
      <w:pPr>
        <w:spacing w:line="640" w:lineRule="exact"/>
        <w:ind w:firstLine="640"/>
        <w:jc w:val="both"/>
        <w:outlineLvl w:val="2"/>
      </w:pPr>
      <w:r>
        <w:rPr>
          <w:rFonts w:ascii="黑体" w:hAnsi="黑体" w:eastAsia="黑体"/>
          <w:sz w:val="32"/>
        </w:rPr>
        <w:t>五、一般公共预算财政拨款支出决算情况说明</w:t>
      </w:r>
    </w:p>
    <w:p w14:paraId="633F73B5">
      <w:pPr>
        <w:spacing w:line="640" w:lineRule="exact"/>
        <w:ind w:firstLine="640"/>
        <w:jc w:val="both"/>
        <w:outlineLvl w:val="3"/>
      </w:pPr>
      <w:r>
        <w:rPr>
          <w:rFonts w:ascii="楷体_GB2312" w:hAnsi="楷体_GB2312" w:eastAsia="楷体_GB2312"/>
          <w:b/>
          <w:sz w:val="32"/>
        </w:rPr>
        <w:t>（一）一般公共预算财政拨款支出决算总体情况</w:t>
      </w:r>
    </w:p>
    <w:p w14:paraId="12F552C7">
      <w:pPr>
        <w:spacing w:line="580" w:lineRule="exact"/>
        <w:ind w:firstLine="640"/>
        <w:jc w:val="both"/>
      </w:pPr>
      <w:r>
        <w:rPr>
          <w:rFonts w:ascii="仿宋_GB2312" w:hAnsi="仿宋_GB2312" w:eastAsia="仿宋_GB2312"/>
          <w:b/>
          <w:sz w:val="32"/>
        </w:rPr>
        <w:t>2024年度一般公共预算财政拨款支出2,660.84万元，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增加2,589.25万元，增长3,616.78%，主要原因是：本年在职人员增加，人员工资调增，人员经费增加；增加喀什经济开发区岳普湖产业园建设项目。</w:t>
      </w:r>
      <w:r>
        <w:rPr>
          <w:rFonts w:ascii="仿宋_GB2312" w:hAnsi="仿宋_GB2312" w:eastAsia="仿宋_GB2312"/>
          <w:b/>
          <w:sz w:val="32"/>
        </w:rPr>
        <w:t>与年初预算相比,</w:t>
      </w:r>
      <w:r>
        <w:rPr>
          <w:rFonts w:ascii="仿宋_GB2312" w:hAnsi="仿宋_GB2312" w:eastAsia="仿宋_GB2312"/>
          <w:b w:val="0"/>
          <w:sz w:val="32"/>
        </w:rPr>
        <w:t>年初预算数686.62万元，决算数2,660.84万元，预决算差异率287.53%，主要原因是：年中追加喀什经济开发区岳普湖产业园建设项目，导致预决算存在差异。</w:t>
      </w:r>
    </w:p>
    <w:p w14:paraId="2BBBF86A">
      <w:pPr>
        <w:spacing w:line="640" w:lineRule="exact"/>
        <w:ind w:firstLine="640"/>
        <w:jc w:val="both"/>
        <w:outlineLvl w:val="3"/>
      </w:pPr>
      <w:r>
        <w:rPr>
          <w:rFonts w:ascii="楷体_GB2312" w:hAnsi="楷体_GB2312" w:eastAsia="楷体_GB2312"/>
          <w:b/>
          <w:sz w:val="32"/>
        </w:rPr>
        <w:t>（二）一般公共预算财政拨款支出决算结构情况</w:t>
      </w:r>
    </w:p>
    <w:p w14:paraId="0BBB1E58">
      <w:pPr>
        <w:spacing w:line="580" w:lineRule="exact"/>
        <w:ind w:firstLine="640"/>
        <w:jc w:val="both"/>
      </w:pPr>
      <w:r>
        <w:rPr>
          <w:rFonts w:ascii="仿宋_GB2312" w:hAnsi="仿宋_GB2312" w:eastAsia="仿宋_GB2312"/>
          <w:b w:val="0"/>
          <w:sz w:val="32"/>
        </w:rPr>
        <w:t>1.一般公共服务支出(类)2,641.56万元,占99.28%。</w:t>
      </w:r>
    </w:p>
    <w:p w14:paraId="15E558CD">
      <w:pPr>
        <w:spacing w:line="580" w:lineRule="exact"/>
        <w:ind w:firstLine="640"/>
        <w:jc w:val="both"/>
      </w:pPr>
      <w:r>
        <w:rPr>
          <w:rFonts w:ascii="仿宋_GB2312" w:hAnsi="仿宋_GB2312" w:eastAsia="仿宋_GB2312"/>
          <w:b w:val="0"/>
          <w:sz w:val="32"/>
        </w:rPr>
        <w:t>2.社会保障和就业支出(类)8.66万元,占0.33%。</w:t>
      </w:r>
    </w:p>
    <w:p w14:paraId="2B0836CB">
      <w:pPr>
        <w:spacing w:line="580" w:lineRule="exact"/>
        <w:ind w:firstLine="640"/>
        <w:jc w:val="both"/>
      </w:pPr>
      <w:r>
        <w:rPr>
          <w:rFonts w:ascii="仿宋_GB2312" w:hAnsi="仿宋_GB2312" w:eastAsia="仿宋_GB2312"/>
          <w:b w:val="0"/>
          <w:sz w:val="32"/>
        </w:rPr>
        <w:t>3.卫生健康支出(类)3.68万元,占0.14%。</w:t>
      </w:r>
    </w:p>
    <w:p w14:paraId="2E0E7226">
      <w:pPr>
        <w:spacing w:line="580" w:lineRule="exact"/>
        <w:ind w:firstLine="640"/>
        <w:jc w:val="both"/>
      </w:pPr>
      <w:r>
        <w:rPr>
          <w:rFonts w:ascii="仿宋_GB2312" w:hAnsi="仿宋_GB2312" w:eastAsia="仿宋_GB2312"/>
          <w:b w:val="0"/>
          <w:sz w:val="32"/>
        </w:rPr>
        <w:t>4.住房保障支出(类)6.94万元,占0.26%。</w:t>
      </w:r>
    </w:p>
    <w:p w14:paraId="613C0CF3">
      <w:pPr>
        <w:spacing w:line="640" w:lineRule="exact"/>
        <w:ind w:firstLine="640"/>
        <w:jc w:val="both"/>
        <w:outlineLvl w:val="3"/>
      </w:pPr>
      <w:r>
        <w:rPr>
          <w:rFonts w:ascii="楷体_GB2312" w:hAnsi="楷体_GB2312" w:eastAsia="楷体_GB2312"/>
          <w:b/>
          <w:sz w:val="32"/>
        </w:rPr>
        <w:t>（三）一般公共预算财政拨款支出决算具体情况</w:t>
      </w:r>
    </w:p>
    <w:p w14:paraId="1E641AF8">
      <w:pPr>
        <w:spacing w:line="580" w:lineRule="exact"/>
        <w:ind w:firstLine="640"/>
        <w:jc w:val="both"/>
      </w:pPr>
      <w:r>
        <w:rPr>
          <w:rFonts w:ascii="仿宋_GB2312" w:hAnsi="仿宋_GB2312" w:eastAsia="仿宋_GB2312"/>
          <w:b w:val="0"/>
          <w:sz w:val="32"/>
        </w:rPr>
        <w:t>1.一般公共服务支出(类)商贸事务(款)招商引资(项):支出决算数为2,108.85万元，比上年决算增加2,051.94万元，增长3,605.59%,主要原因是：本年在职人员增加，人员工资调增，人员经费增加；增加喀什经济开发区岳普湖产业园建设项目。</w:t>
      </w:r>
    </w:p>
    <w:p w14:paraId="67BD0E7E">
      <w:pPr>
        <w:spacing w:line="580" w:lineRule="exact"/>
        <w:ind w:firstLine="640"/>
        <w:jc w:val="both"/>
      </w:pPr>
      <w:r>
        <w:rPr>
          <w:rFonts w:ascii="仿宋_GB2312" w:hAnsi="仿宋_GB2312" w:eastAsia="仿宋_GB2312"/>
          <w:b w:val="0"/>
          <w:sz w:val="32"/>
        </w:rPr>
        <w:t>2.一般公共服务支出(类)商贸事务(款)其他商贸事务支出(项):支出决算数为532.71万元，比上年决算增加532.71万元，增长100.00%,主要原因是：本年增加喀什经济开发区岳普湖产业园建设项目。</w:t>
      </w:r>
    </w:p>
    <w:p w14:paraId="7A4BCD1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8.66万元，比上年决算增加2.18万元，增长33.64%,主要原因是：本年在职人员增加，人员工资调增，养老保险缴费较上年增加。</w:t>
      </w:r>
    </w:p>
    <w:p w14:paraId="3E751815">
      <w:pPr>
        <w:spacing w:line="580" w:lineRule="exact"/>
        <w:ind w:firstLine="640"/>
        <w:jc w:val="both"/>
      </w:pPr>
      <w:r>
        <w:rPr>
          <w:rFonts w:ascii="仿宋_GB2312" w:hAnsi="仿宋_GB2312" w:eastAsia="仿宋_GB2312"/>
          <w:b w:val="0"/>
          <w:sz w:val="32"/>
        </w:rPr>
        <w:t>4.卫生健康支出(类)行政事业单位医疗(款)事业单位医疗(项):支出决算数为3.68万元，比上年决算增加0.95万元，增长34.80%,主要原因是：本年在职人员增加，人员工资调增，事业单位医疗支出较上年增加。</w:t>
      </w:r>
    </w:p>
    <w:p w14:paraId="19CDBFDF">
      <w:pPr>
        <w:spacing w:line="580" w:lineRule="exact"/>
        <w:ind w:firstLine="640"/>
        <w:jc w:val="both"/>
      </w:pPr>
      <w:r>
        <w:rPr>
          <w:rFonts w:ascii="仿宋_GB2312" w:hAnsi="仿宋_GB2312" w:eastAsia="仿宋_GB2312"/>
          <w:b w:val="0"/>
          <w:sz w:val="32"/>
        </w:rPr>
        <w:t>5.住房保障支出(类)住房改革支出(款)住房公积金(项):支出决算数为6.94万元，比上年决算增加1.47万元，增长26.87%,主要原因是：本年在职人员增加，人员工资调增，住房公积金支出较上年增加。</w:t>
      </w:r>
    </w:p>
    <w:p w14:paraId="559CE952">
      <w:pPr>
        <w:spacing w:line="640" w:lineRule="exact"/>
        <w:ind w:firstLine="640"/>
        <w:jc w:val="both"/>
        <w:outlineLvl w:val="2"/>
      </w:pPr>
      <w:r>
        <w:rPr>
          <w:rFonts w:ascii="黑体" w:hAnsi="黑体" w:eastAsia="黑体"/>
          <w:sz w:val="32"/>
        </w:rPr>
        <w:t>六、一般公共预算财政拨款基本支出决算情况说明</w:t>
      </w:r>
    </w:p>
    <w:p w14:paraId="11EA8079">
      <w:pPr>
        <w:spacing w:line="580" w:lineRule="exact"/>
        <w:ind w:firstLine="640"/>
        <w:jc w:val="both"/>
      </w:pPr>
      <w:r>
        <w:rPr>
          <w:rFonts w:ascii="仿宋_GB2312" w:hAnsi="仿宋_GB2312" w:eastAsia="仿宋_GB2312"/>
          <w:b w:val="0"/>
          <w:sz w:val="32"/>
        </w:rPr>
        <w:t>2024年度一般公共预算财政拨款基本支出88.73万元，其中：</w:t>
      </w:r>
      <w:r>
        <w:rPr>
          <w:rFonts w:ascii="仿宋_GB2312" w:hAnsi="仿宋_GB2312" w:eastAsia="仿宋_GB2312"/>
          <w:b/>
          <w:sz w:val="32"/>
        </w:rPr>
        <w:t>人员经费86.69万元，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2EE6B8CE">
      <w:pPr>
        <w:spacing w:line="580" w:lineRule="exact"/>
        <w:ind w:firstLine="640"/>
        <w:jc w:val="both"/>
      </w:pPr>
      <w:r>
        <w:rPr>
          <w:rFonts w:ascii="仿宋_GB2312" w:hAnsi="仿宋_GB2312" w:eastAsia="仿宋_GB2312"/>
          <w:b/>
          <w:sz w:val="32"/>
        </w:rPr>
        <w:t>公用经费2.04万元，</w:t>
      </w:r>
      <w:r>
        <w:rPr>
          <w:rFonts w:ascii="仿宋_GB2312" w:hAnsi="仿宋_GB2312" w:eastAsia="仿宋_GB2312"/>
          <w:b w:val="0"/>
          <w:sz w:val="32"/>
        </w:rPr>
        <w:t>包括：办公费、公务用车运行维护费。</w:t>
      </w:r>
    </w:p>
    <w:p w14:paraId="711E35EF">
      <w:pPr>
        <w:spacing w:line="640" w:lineRule="exact"/>
        <w:ind w:firstLine="640"/>
        <w:jc w:val="both"/>
        <w:outlineLvl w:val="2"/>
      </w:pPr>
      <w:r>
        <w:rPr>
          <w:rFonts w:ascii="黑体" w:hAnsi="黑体" w:eastAsia="黑体"/>
          <w:sz w:val="32"/>
        </w:rPr>
        <w:t>七、政府性基金预算财政拨款收入支出决算情况说明</w:t>
      </w:r>
    </w:p>
    <w:p w14:paraId="0D521A2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B90980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减少681.50万元，下降100.00%，主要原因是：本年政府性基金减少喀什经济开发区岳普湖产业园建设项目。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r>
        <w:rPr>
          <w:rFonts w:hint="eastAsia" w:ascii="仿宋_GB2312" w:hAnsi="仿宋_GB2312" w:eastAsia="仿宋_GB2312"/>
          <w:b w:val="0"/>
          <w:sz w:val="32"/>
          <w:lang w:eastAsia="zh-CN"/>
        </w:rPr>
        <w:t>财政拨款支出</w:t>
      </w:r>
      <w:r>
        <w:rPr>
          <w:rFonts w:ascii="仿宋_GB2312" w:hAnsi="仿宋_GB2312" w:eastAsia="仿宋_GB2312"/>
          <w:b w:val="0"/>
          <w:sz w:val="32"/>
        </w:rPr>
        <w:t>。</w:t>
      </w:r>
    </w:p>
    <w:p w14:paraId="7B9CEF2E">
      <w:pPr>
        <w:spacing w:line="580" w:lineRule="exact"/>
        <w:ind w:firstLine="640"/>
        <w:jc w:val="both"/>
      </w:pPr>
      <w:r>
        <w:rPr>
          <w:rFonts w:ascii="仿宋_GB2312" w:hAnsi="仿宋_GB2312" w:eastAsia="仿宋_GB2312"/>
          <w:b w:val="0"/>
          <w:sz w:val="32"/>
        </w:rPr>
        <w:t>政府性基金预算财政拨款支出0.00万元。</w:t>
      </w:r>
    </w:p>
    <w:p w14:paraId="57D241D6">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0.00万元，比上年决算减少681.50万元，下降100.00%,主要原因是：本年政府性基金减少喀什经济开发区岳普湖产业园建设项目。</w:t>
      </w:r>
    </w:p>
    <w:p w14:paraId="75C2ABB9">
      <w:pPr>
        <w:spacing w:line="640" w:lineRule="exact"/>
        <w:ind w:firstLine="640"/>
        <w:jc w:val="both"/>
        <w:outlineLvl w:val="2"/>
      </w:pPr>
      <w:r>
        <w:rPr>
          <w:rFonts w:ascii="黑体" w:hAnsi="黑体" w:eastAsia="黑体"/>
          <w:sz w:val="32"/>
        </w:rPr>
        <w:t>八、国有资本经营预算财政拨款收入支出决算情况说明</w:t>
      </w:r>
    </w:p>
    <w:p w14:paraId="4E8E17D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D9CBC1">
      <w:pPr>
        <w:spacing w:line="640" w:lineRule="exact"/>
        <w:ind w:firstLine="640"/>
        <w:jc w:val="both"/>
        <w:outlineLvl w:val="2"/>
      </w:pPr>
      <w:r>
        <w:rPr>
          <w:rFonts w:ascii="黑体" w:hAnsi="黑体" w:eastAsia="黑体"/>
          <w:sz w:val="32"/>
        </w:rPr>
        <w:t>九、财政拨款“三公”经费支出决算情况说明</w:t>
      </w:r>
    </w:p>
    <w:p w14:paraId="76B29D13">
      <w:pPr>
        <w:spacing w:line="580" w:lineRule="exact"/>
        <w:ind w:firstLine="640"/>
        <w:jc w:val="both"/>
      </w:pPr>
      <w:r>
        <w:rPr>
          <w:rFonts w:ascii="仿宋_GB2312" w:hAnsi="仿宋_GB2312" w:eastAsia="仿宋_GB2312"/>
          <w:b/>
          <w:sz w:val="32"/>
        </w:rPr>
        <w:t>2024年度财政拨款“三公”经费支出1.26万元，</w:t>
      </w:r>
      <w:r>
        <w:rPr>
          <w:rFonts w:ascii="仿宋_GB2312" w:hAnsi="仿宋_GB2312" w:eastAsia="仿宋_GB2312"/>
          <w:b w:val="0"/>
          <w:sz w:val="32"/>
        </w:rPr>
        <w:t>比上年增加0.97万元，增长334.48%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1.26万元，占100.00%，比上年增加0.97万元，增长334.48%，主要原因是：本年因业务需求，用车次数增加，燃油费增加，导致公务用车运行维护费较上年增加。公务接待费支出0.00万元，占0.00%，比上年增加0.00万元，增长0.00%，主要原因是：2023年与2024年均未安排公务接待费支出。</w:t>
      </w:r>
    </w:p>
    <w:p w14:paraId="457BF3A8">
      <w:pPr>
        <w:spacing w:line="580" w:lineRule="exact"/>
        <w:ind w:firstLine="640"/>
        <w:jc w:val="both"/>
      </w:pPr>
      <w:r>
        <w:rPr>
          <w:rFonts w:ascii="仿宋_GB2312" w:hAnsi="仿宋_GB2312" w:eastAsia="仿宋_GB2312"/>
          <w:b/>
          <w:sz w:val="32"/>
        </w:rPr>
        <w:t>具体情况如下：</w:t>
      </w:r>
    </w:p>
    <w:p w14:paraId="474648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D522085">
      <w:pPr>
        <w:spacing w:line="580" w:lineRule="exact"/>
        <w:ind w:firstLine="640"/>
        <w:jc w:val="both"/>
      </w:pPr>
      <w:r>
        <w:rPr>
          <w:rFonts w:ascii="仿宋_GB2312" w:hAnsi="仿宋_GB2312" w:eastAsia="仿宋_GB2312"/>
          <w:b w:val="0"/>
          <w:sz w:val="32"/>
        </w:rPr>
        <w:t>公务用车购置及运行维护费1.26万元，其中：公务用车购置费0.00万元，公务用车运行维护费1.26万元。公务用车运行维护费开支内容包括车辆保险费。公务用车购置数0辆，公务用车保有量1辆。国有资产占用情况中固定资产车辆1辆，与公务用车保有量差异原因是：本单位固定资产车辆与公务用车保有量一致无差异。</w:t>
      </w:r>
    </w:p>
    <w:p w14:paraId="662053C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0B849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万元，决算数1.26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万元，决算数1.26万元，预决算差异率0.00%，主要原因是：严格按照预算执行，预决算无差异。公务接待费全年预算数0.00万元，决算数0.00万元，预决算差异率0.00%，主要原因是：本单位无公务接待费。</w:t>
      </w:r>
    </w:p>
    <w:p w14:paraId="2185BB39">
      <w:pPr>
        <w:spacing w:line="640" w:lineRule="exact"/>
        <w:ind w:firstLine="640"/>
        <w:jc w:val="both"/>
        <w:outlineLvl w:val="2"/>
      </w:pPr>
      <w:r>
        <w:rPr>
          <w:rFonts w:ascii="黑体" w:hAnsi="黑体" w:eastAsia="黑体"/>
          <w:sz w:val="32"/>
        </w:rPr>
        <w:t>十、其他重要事项的情况说明</w:t>
      </w:r>
    </w:p>
    <w:p w14:paraId="5DCE3C14">
      <w:pPr>
        <w:spacing w:line="640" w:lineRule="exact"/>
        <w:ind w:firstLine="640"/>
        <w:jc w:val="both"/>
        <w:outlineLvl w:val="3"/>
      </w:pPr>
      <w:r>
        <w:rPr>
          <w:rFonts w:ascii="楷体_GB2312" w:hAnsi="楷体_GB2312" w:eastAsia="楷体_GB2312"/>
          <w:b/>
          <w:sz w:val="32"/>
        </w:rPr>
        <w:t>（一）机关运行经费及公用经费支出情况</w:t>
      </w:r>
    </w:p>
    <w:p w14:paraId="119E32EE">
      <w:pPr>
        <w:spacing w:line="580" w:lineRule="exact"/>
        <w:ind w:firstLine="640"/>
        <w:jc w:val="both"/>
      </w:pPr>
      <w:r>
        <w:rPr>
          <w:rFonts w:ascii="仿宋_GB2312" w:hAnsi="仿宋_GB2312" w:eastAsia="仿宋_GB2312"/>
          <w:b w:val="0"/>
          <w:sz w:val="32"/>
        </w:rPr>
        <w:t>2024年度喀什经济开发区岳普湖产业园（事业单位）公用经费支出2.04万元，比上年增加1.65万元，增长423.08%，主要原因是：本年更新、维护补充办公用品，导致公用经费较上年增加。</w:t>
      </w:r>
    </w:p>
    <w:p w14:paraId="48182D4A">
      <w:pPr>
        <w:spacing w:line="640" w:lineRule="exact"/>
        <w:ind w:firstLine="640"/>
        <w:jc w:val="both"/>
        <w:outlineLvl w:val="3"/>
      </w:pPr>
      <w:r>
        <w:rPr>
          <w:rFonts w:ascii="楷体_GB2312" w:hAnsi="楷体_GB2312" w:eastAsia="楷体_GB2312"/>
          <w:b/>
          <w:sz w:val="32"/>
        </w:rPr>
        <w:t>（二）政府采购情况</w:t>
      </w:r>
    </w:p>
    <w:p w14:paraId="52727D14">
      <w:pPr>
        <w:spacing w:line="580" w:lineRule="exact"/>
        <w:ind w:firstLine="640"/>
        <w:jc w:val="both"/>
      </w:pPr>
      <w:r>
        <w:rPr>
          <w:rFonts w:ascii="仿宋_GB2312" w:hAnsi="仿宋_GB2312" w:eastAsia="仿宋_GB2312"/>
          <w:b w:val="0"/>
          <w:sz w:val="32"/>
        </w:rPr>
        <w:t>2024年度政府采购支出总额0.26万元，其中：政府采购货物支出0.00万元、政府采购工程支出0.00万元、政府采购服务支出0.26万元。</w:t>
      </w:r>
    </w:p>
    <w:p w14:paraId="2B7E2510">
      <w:pPr>
        <w:spacing w:line="580" w:lineRule="exact"/>
        <w:ind w:firstLine="640"/>
        <w:jc w:val="both"/>
      </w:pPr>
      <w:r>
        <w:rPr>
          <w:rFonts w:ascii="仿宋_GB2312" w:hAnsi="仿宋_GB2312" w:eastAsia="仿宋_GB2312"/>
          <w:b w:val="0"/>
          <w:sz w:val="32"/>
        </w:rPr>
        <w:t>授予中小企业合同金额0.26万元，占政府采购支出总额的100.00%，其中：授予小微企业合同金额0.26万元，占政府采购支出总额的100.00%。</w:t>
      </w:r>
    </w:p>
    <w:p w14:paraId="6711BFF3">
      <w:pPr>
        <w:spacing w:line="640" w:lineRule="exact"/>
        <w:ind w:firstLine="640"/>
        <w:jc w:val="both"/>
        <w:outlineLvl w:val="3"/>
      </w:pPr>
      <w:r>
        <w:rPr>
          <w:rFonts w:ascii="楷体_GB2312" w:hAnsi="楷体_GB2312" w:eastAsia="楷体_GB2312"/>
          <w:b/>
          <w:sz w:val="32"/>
        </w:rPr>
        <w:t>（三）国有资产占用情况说明</w:t>
      </w:r>
    </w:p>
    <w:p w14:paraId="3B66385D">
      <w:pPr>
        <w:spacing w:line="580" w:lineRule="exact"/>
        <w:ind w:firstLine="640"/>
        <w:jc w:val="both"/>
      </w:pPr>
      <w:r>
        <w:rPr>
          <w:rFonts w:ascii="仿宋_GB2312" w:hAnsi="仿宋_GB2312" w:eastAsia="仿宋_GB2312"/>
          <w:b w:val="0"/>
          <w:sz w:val="32"/>
        </w:rPr>
        <w:t>截至2024年12月31日，房屋0.00平方米，价值0.00万元。车辆1辆，价值11.30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EF98310">
      <w:pPr>
        <w:spacing w:line="640" w:lineRule="exact"/>
        <w:ind w:firstLine="640"/>
        <w:jc w:val="both"/>
        <w:outlineLvl w:val="2"/>
      </w:pPr>
      <w:r>
        <w:rPr>
          <w:rFonts w:ascii="黑体" w:hAnsi="黑体" w:eastAsia="黑体"/>
          <w:sz w:val="32"/>
        </w:rPr>
        <w:t>十一、预算绩效的情况说明</w:t>
      </w:r>
    </w:p>
    <w:p w14:paraId="67A355A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2,660.84万元，实际执行总额2,660.84万元；预算绩效评价项目1个，全年预算数2,572.11万元，全年执行数2,572.11万元。预算绩效管理取得的成效：完善预算绩效管理相关工作制度，建立全过程预算绩效管理链条，有效贯彻落实全面实施绩效管理的精神。发现的问题及原因：过于重视项目短期行为，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缺少带着问题去评价的意识，后续效益评价具体措施和方法不足。下一步改进措施：加大绩效工作宣传力度，强化绩效理念。完善绩效指标，依据对部门工作任务的分解形成工作活动层面的绩效目标，提高整体绩效目标质量。提升预算精细化管理水平。目标的设定与部门的整体支出方向、结构与范围要高度一致，与“三定方案”确定的部门职能紧密相关，细致梳理部门具体的工作职责。具体附整体支出绩效自评表，项目支出绩效自评表和评价报告。</w:t>
      </w:r>
    </w:p>
    <w:p w14:paraId="6352C6E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02A074">
        <w:tblPrEx>
          <w:tblCellMar>
            <w:top w:w="0" w:type="dxa"/>
            <w:left w:w="108" w:type="dxa"/>
            <w:bottom w:w="0" w:type="dxa"/>
            <w:right w:w="108" w:type="dxa"/>
          </w:tblCellMar>
        </w:tblPrEx>
        <w:tc>
          <w:tcPr>
            <w:tcW w:w="8847" w:type="dxa"/>
            <w:gridSpan w:val="9"/>
            <w:vAlign w:val="center"/>
          </w:tcPr>
          <w:p w14:paraId="5DF6F12D">
            <w:pPr>
              <w:jc w:val="center"/>
            </w:pPr>
            <w:r>
              <w:rPr>
                <w:rFonts w:ascii="宋体" w:hAnsi="宋体" w:eastAsia="宋体"/>
                <w:sz w:val="24"/>
              </w:rPr>
              <w:t>单位整体支出绩效自评表</w:t>
            </w:r>
          </w:p>
        </w:tc>
      </w:tr>
      <w:tr w14:paraId="72EEF3AA">
        <w:tblPrEx>
          <w:tblCellMar>
            <w:top w:w="0" w:type="dxa"/>
            <w:left w:w="108" w:type="dxa"/>
            <w:bottom w:w="0" w:type="dxa"/>
            <w:right w:w="108" w:type="dxa"/>
          </w:tblCellMar>
        </w:tblPrEx>
        <w:tc>
          <w:tcPr>
            <w:tcW w:w="8847" w:type="dxa"/>
            <w:gridSpan w:val="9"/>
            <w:vAlign w:val="center"/>
          </w:tcPr>
          <w:p w14:paraId="7D25EE0F">
            <w:pPr>
              <w:jc w:val="center"/>
            </w:pPr>
            <w:r>
              <w:rPr>
                <w:rFonts w:ascii="宋体" w:hAnsi="宋体" w:eastAsia="宋体"/>
                <w:sz w:val="24"/>
              </w:rPr>
              <w:t>（2024年度）</w:t>
            </w:r>
          </w:p>
        </w:tc>
      </w:tr>
      <w:tr w14:paraId="45EC50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5875C">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4A0702">
            <w:pPr>
              <w:jc w:val="center"/>
            </w:pPr>
            <w:r>
              <w:rPr>
                <w:rFonts w:ascii="宋体" w:hAnsi="宋体" w:eastAsia="宋体"/>
                <w:sz w:val="16"/>
              </w:rPr>
              <w:t>喀什经济开发区岳普湖产业园</w:t>
            </w:r>
          </w:p>
        </w:tc>
      </w:tr>
      <w:tr w14:paraId="7F5DC3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62A2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5160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D10A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7B6E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AD87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652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C563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93922">
            <w:pPr>
              <w:jc w:val="center"/>
            </w:pPr>
            <w:r>
              <w:rPr>
                <w:rFonts w:ascii="宋体" w:hAnsi="宋体" w:eastAsia="宋体"/>
                <w:sz w:val="16"/>
              </w:rPr>
              <w:t>得分</w:t>
            </w:r>
          </w:p>
        </w:tc>
      </w:tr>
      <w:tr w14:paraId="121652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CBC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7706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61BB9">
            <w:pPr>
              <w:jc w:val="center"/>
            </w:pPr>
            <w:r>
              <w:rPr>
                <w:rFonts w:ascii="宋体" w:hAnsi="宋体" w:eastAsia="宋体"/>
                <w:sz w:val="16"/>
              </w:rPr>
              <w:t>686.62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C2480">
            <w:pPr>
              <w:jc w:val="center"/>
            </w:pPr>
            <w:r>
              <w:rPr>
                <w:rFonts w:ascii="宋体" w:hAnsi="宋体" w:eastAsia="宋体"/>
                <w:sz w:val="16"/>
              </w:rPr>
              <w:t>2,660.84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ED9E5">
            <w:pPr>
              <w:jc w:val="center"/>
            </w:pPr>
            <w:r>
              <w:rPr>
                <w:rFonts w:ascii="宋体" w:hAnsi="宋体" w:eastAsia="宋体"/>
                <w:sz w:val="16"/>
              </w:rPr>
              <w:t>2,660.84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D8B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F7E9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812E">
            <w:pPr>
              <w:jc w:val="center"/>
            </w:pPr>
            <w:r>
              <w:rPr>
                <w:rFonts w:ascii="宋体" w:hAnsi="宋体" w:eastAsia="宋体"/>
                <w:sz w:val="16"/>
              </w:rPr>
              <w:t>10</w:t>
            </w:r>
          </w:p>
        </w:tc>
      </w:tr>
      <w:tr w14:paraId="44173A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51B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2D7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E6C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F51D1">
            <w:pPr>
              <w:jc w:val="center"/>
            </w:pPr>
            <w:r>
              <w:rPr>
                <w:rFonts w:ascii="宋体" w:hAnsi="宋体" w:eastAsia="宋体"/>
                <w:sz w:val="16"/>
              </w:rPr>
              <w:t>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BF55">
            <w:pPr>
              <w:jc w:val="center"/>
            </w:pPr>
            <w:r>
              <w:rPr>
                <w:rFonts w:ascii="宋体" w:hAnsi="宋体" w:eastAsia="宋体"/>
                <w:sz w:val="16"/>
              </w:rPr>
              <w:t>1.47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CB2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0F3A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4B921">
            <w:pPr>
              <w:jc w:val="center"/>
            </w:pPr>
            <w:r>
              <w:rPr>
                <w:rFonts w:ascii="宋体" w:hAnsi="宋体" w:eastAsia="宋体"/>
                <w:sz w:val="16"/>
              </w:rPr>
              <w:t>—</w:t>
            </w:r>
          </w:p>
        </w:tc>
      </w:tr>
      <w:tr w14:paraId="1234BC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A025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07D5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411C7">
            <w:pPr>
              <w:jc w:val="center"/>
            </w:pPr>
            <w:r>
              <w:rPr>
                <w:rFonts w:ascii="宋体" w:hAnsi="宋体" w:eastAsia="宋体"/>
                <w:sz w:val="16"/>
              </w:rPr>
              <w:t>686.62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2BCDD">
            <w:pPr>
              <w:jc w:val="center"/>
            </w:pPr>
            <w:r>
              <w:rPr>
                <w:rFonts w:ascii="宋体" w:hAnsi="宋体" w:eastAsia="宋体"/>
                <w:sz w:val="16"/>
              </w:rPr>
              <w:t>2,659.37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C55C">
            <w:pPr>
              <w:jc w:val="center"/>
            </w:pPr>
            <w:r>
              <w:rPr>
                <w:rFonts w:ascii="宋体" w:hAnsi="宋体" w:eastAsia="宋体"/>
                <w:sz w:val="16"/>
              </w:rPr>
              <w:t>2,659.37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7AA8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FC85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F40CA">
            <w:pPr>
              <w:jc w:val="center"/>
            </w:pPr>
            <w:r>
              <w:rPr>
                <w:rFonts w:ascii="宋体" w:hAnsi="宋体" w:eastAsia="宋体"/>
                <w:sz w:val="16"/>
              </w:rPr>
              <w:t>—</w:t>
            </w:r>
          </w:p>
        </w:tc>
      </w:tr>
      <w:tr w14:paraId="405540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C35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2B13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FC8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F602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85D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CA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C257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2B24C">
            <w:pPr>
              <w:jc w:val="center"/>
            </w:pPr>
            <w:r>
              <w:rPr>
                <w:rFonts w:ascii="宋体" w:hAnsi="宋体" w:eastAsia="宋体"/>
                <w:sz w:val="16"/>
              </w:rPr>
              <w:t>—</w:t>
            </w:r>
          </w:p>
        </w:tc>
      </w:tr>
      <w:tr w14:paraId="4532BD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EDFD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BAA6F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88481D">
            <w:pPr>
              <w:jc w:val="center"/>
            </w:pPr>
            <w:r>
              <w:rPr>
                <w:rFonts w:ascii="宋体" w:hAnsi="宋体" w:eastAsia="宋体"/>
                <w:sz w:val="16"/>
              </w:rPr>
              <w:t>实际完成情况</w:t>
            </w:r>
          </w:p>
        </w:tc>
      </w:tr>
      <w:tr w14:paraId="4D0E5F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13A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8848AB">
            <w:pPr>
              <w:jc w:val="both"/>
            </w:pPr>
            <w:r>
              <w:rPr>
                <w:rFonts w:ascii="宋体" w:hAnsi="宋体" w:eastAsia="宋体"/>
                <w:sz w:val="16"/>
              </w:rPr>
              <w:t>计划签约落地2家制造业企业，推动形成特色领域智能装备制造园区。积极落实园区企业的惠企政策。督查指导企业党建工作。加大园区产业人员的定岗培训。大力宣传惠企惠民政策和就业政策。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31EA7">
            <w:pPr>
              <w:jc w:val="both"/>
            </w:pPr>
            <w:r>
              <w:rPr>
                <w:rFonts w:ascii="宋体" w:hAnsi="宋体" w:eastAsia="宋体"/>
                <w:sz w:val="16"/>
              </w:rPr>
              <w:t>现阶段已完成与2家制造业企业的签约落地工作，体现了单位在履职方面的积极作用，推动形成具有特色的产业园区。积极落实园区内企业的惠企政策，确保政策能够真正惠及到企业。进行督查和指导，以加强企业内部的党建工作，确保其健康有序地进行。为了提升园区产业人员的专业技能，加大定岗培训的力度，以期培养出更多符合产业需求的专业人才。大力宣传惠企惠民政策以及就业政策，让更多的企业了解并受益于这些政策。</w:t>
            </w:r>
          </w:p>
        </w:tc>
      </w:tr>
      <w:tr w14:paraId="15F610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CD87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04A9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F81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6B2A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25B6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C134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63D5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E234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A410B">
            <w:pPr>
              <w:jc w:val="center"/>
            </w:pPr>
            <w:r>
              <w:rPr>
                <w:rFonts w:ascii="宋体" w:hAnsi="宋体" w:eastAsia="宋体"/>
                <w:sz w:val="16"/>
              </w:rPr>
              <w:t>得分</w:t>
            </w:r>
          </w:p>
        </w:tc>
      </w:tr>
      <w:tr w14:paraId="22E9C5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346BC">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9977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DD8EA">
            <w:pPr>
              <w:jc w:val="center"/>
            </w:pPr>
            <w:r>
              <w:rPr>
                <w:rFonts w:ascii="宋体" w:hAnsi="宋体" w:eastAsia="宋体"/>
                <w:sz w:val="16"/>
              </w:rPr>
              <w:t>签约落地企业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FFB03">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BF6D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9D63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46FAC">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389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CA68C">
            <w:pPr>
              <w:jc w:val="center"/>
            </w:pPr>
            <w:r>
              <w:rPr>
                <w:rFonts w:ascii="宋体" w:hAnsi="宋体" w:eastAsia="宋体"/>
                <w:sz w:val="16"/>
              </w:rPr>
              <w:t>18</w:t>
            </w:r>
          </w:p>
        </w:tc>
      </w:tr>
      <w:tr w14:paraId="69DC05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E52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7EA1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8215F">
            <w:pPr>
              <w:jc w:val="center"/>
            </w:pPr>
            <w:r>
              <w:rPr>
                <w:rFonts w:ascii="宋体" w:hAnsi="宋体" w:eastAsia="宋体"/>
                <w:sz w:val="16"/>
              </w:rPr>
              <w:t>督查指导企业党建工作完成率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087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45EE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6EF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B80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A76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F63EC">
            <w:pPr>
              <w:jc w:val="center"/>
            </w:pPr>
            <w:r>
              <w:rPr>
                <w:rFonts w:ascii="宋体" w:hAnsi="宋体" w:eastAsia="宋体"/>
                <w:sz w:val="16"/>
              </w:rPr>
              <w:t>18</w:t>
            </w:r>
          </w:p>
        </w:tc>
      </w:tr>
      <w:tr w14:paraId="0F9A9C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8CD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04F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5A7FC">
            <w:pPr>
              <w:jc w:val="center"/>
            </w:pPr>
            <w:r>
              <w:rPr>
                <w:rFonts w:ascii="宋体" w:hAnsi="宋体" w:eastAsia="宋体"/>
                <w:sz w:val="16"/>
              </w:rPr>
              <w:t>宣传惠企惠民政策覆盖率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5F7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68CA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CFE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DF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DBF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F12A">
            <w:pPr>
              <w:jc w:val="center"/>
            </w:pPr>
            <w:r>
              <w:rPr>
                <w:rFonts w:ascii="宋体" w:hAnsi="宋体" w:eastAsia="宋体"/>
                <w:sz w:val="16"/>
              </w:rPr>
              <w:t>18</w:t>
            </w:r>
          </w:p>
        </w:tc>
      </w:tr>
      <w:tr w14:paraId="6C3458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4A3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4EA1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E86CA">
            <w:pPr>
              <w:jc w:val="center"/>
            </w:pPr>
            <w:r>
              <w:rPr>
                <w:rFonts w:ascii="宋体" w:hAnsi="宋体" w:eastAsia="宋体"/>
                <w:sz w:val="16"/>
              </w:rPr>
              <w:t>招商引资企业惠及政策落实率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62C0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B29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1D3B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BFA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7DD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C2007">
            <w:pPr>
              <w:jc w:val="center"/>
            </w:pPr>
            <w:r>
              <w:rPr>
                <w:rFonts w:ascii="宋体" w:hAnsi="宋体" w:eastAsia="宋体"/>
                <w:sz w:val="16"/>
              </w:rPr>
              <w:t>18</w:t>
            </w:r>
          </w:p>
        </w:tc>
      </w:tr>
      <w:tr w14:paraId="37DCE7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7E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D700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8E65B">
            <w:pPr>
              <w:jc w:val="center"/>
            </w:pPr>
            <w:r>
              <w:rPr>
                <w:rFonts w:ascii="宋体" w:hAnsi="宋体" w:eastAsia="宋体"/>
                <w:sz w:val="16"/>
              </w:rPr>
              <w:t>定岗培训完成及时率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273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F4A6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E697E">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4CE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312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ED998">
            <w:pPr>
              <w:jc w:val="center"/>
            </w:pPr>
            <w:r>
              <w:rPr>
                <w:rFonts w:ascii="宋体" w:hAnsi="宋体" w:eastAsia="宋体"/>
                <w:sz w:val="16"/>
              </w:rPr>
              <w:t>18</w:t>
            </w:r>
          </w:p>
        </w:tc>
      </w:tr>
    </w:tbl>
    <w:p w14:paraId="7A273857">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599"/>
        <w:gridCol w:w="936"/>
        <w:gridCol w:w="607"/>
        <w:gridCol w:w="604"/>
        <w:gridCol w:w="611"/>
        <w:gridCol w:w="600"/>
        <w:gridCol w:w="599"/>
        <w:gridCol w:w="856"/>
        <w:gridCol w:w="632"/>
        <w:gridCol w:w="569"/>
        <w:gridCol w:w="630"/>
      </w:tblGrid>
      <w:tr w14:paraId="1745F73B">
        <w:tblPrEx>
          <w:tblCellMar>
            <w:top w:w="0" w:type="dxa"/>
            <w:left w:w="108" w:type="dxa"/>
            <w:bottom w:w="0" w:type="dxa"/>
            <w:right w:w="108" w:type="dxa"/>
          </w:tblCellMar>
        </w:tblPrEx>
        <w:tc>
          <w:tcPr>
            <w:tcW w:w="8848" w:type="dxa"/>
            <w:gridSpan w:val="14"/>
            <w:vAlign w:val="center"/>
          </w:tcPr>
          <w:p w14:paraId="25A2B369">
            <w:pPr>
              <w:jc w:val="center"/>
            </w:pPr>
            <w:r>
              <w:rPr>
                <w:rFonts w:ascii="宋体" w:hAnsi="宋体" w:eastAsia="宋体"/>
                <w:sz w:val="24"/>
              </w:rPr>
              <w:t>项目支出绩效自评表</w:t>
            </w:r>
          </w:p>
        </w:tc>
      </w:tr>
      <w:tr w14:paraId="45185ADF">
        <w:tblPrEx>
          <w:tblCellMar>
            <w:top w:w="0" w:type="dxa"/>
            <w:left w:w="108" w:type="dxa"/>
            <w:bottom w:w="0" w:type="dxa"/>
            <w:right w:w="108" w:type="dxa"/>
          </w:tblCellMar>
        </w:tblPrEx>
        <w:tc>
          <w:tcPr>
            <w:tcW w:w="8848" w:type="dxa"/>
            <w:gridSpan w:val="14"/>
            <w:vAlign w:val="center"/>
          </w:tcPr>
          <w:p w14:paraId="014AE6A1">
            <w:pPr>
              <w:jc w:val="center"/>
            </w:pPr>
            <w:r>
              <w:rPr>
                <w:rFonts w:ascii="宋体" w:hAnsi="宋体" w:eastAsia="宋体"/>
                <w:sz w:val="24"/>
              </w:rPr>
              <w:t>(2024年度)</w:t>
            </w:r>
          </w:p>
        </w:tc>
      </w:tr>
      <w:tr w14:paraId="3B6F5D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36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32691D">
            <w:pPr>
              <w:jc w:val="center"/>
            </w:pPr>
            <w:r>
              <w:rPr>
                <w:rFonts w:ascii="宋体" w:hAnsi="宋体" w:eastAsia="宋体"/>
                <w:sz w:val="16"/>
              </w:rPr>
              <w:t>偿还</w:t>
            </w:r>
            <w:bookmarkStart w:id="0" w:name="_GoBack"/>
            <w:r>
              <w:rPr>
                <w:rFonts w:ascii="宋体" w:hAnsi="宋体" w:eastAsia="宋体"/>
                <w:sz w:val="16"/>
              </w:rPr>
              <w:t>欠款</w:t>
            </w:r>
            <w:bookmarkEnd w:id="0"/>
            <w:r>
              <w:rPr>
                <w:rFonts w:ascii="宋体" w:hAnsi="宋体" w:eastAsia="宋体"/>
                <w:sz w:val="16"/>
              </w:rPr>
              <w:t>项目</w:t>
            </w:r>
          </w:p>
        </w:tc>
      </w:tr>
      <w:tr w14:paraId="162CEC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EC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A1AD9">
            <w:pPr>
              <w:jc w:val="center"/>
            </w:pPr>
            <w:r>
              <w:rPr>
                <w:rFonts w:ascii="宋体" w:hAnsi="宋体" w:eastAsia="宋体"/>
                <w:sz w:val="16"/>
              </w:rPr>
              <w:t>喀什经济开发区岳普湖产业园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60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1D9948">
            <w:pPr>
              <w:jc w:val="center"/>
            </w:pPr>
            <w:r>
              <w:rPr>
                <w:rFonts w:ascii="宋体" w:hAnsi="宋体" w:eastAsia="宋体"/>
                <w:sz w:val="16"/>
              </w:rPr>
              <w:t>喀什经济开发区岳普湖产业园</w:t>
            </w:r>
          </w:p>
        </w:tc>
      </w:tr>
      <w:tr w14:paraId="01CB3D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43B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433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6D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57E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4D4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2D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C50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B686">
            <w:pPr>
              <w:jc w:val="center"/>
            </w:pPr>
            <w:r>
              <w:rPr>
                <w:rFonts w:ascii="宋体" w:hAnsi="宋体" w:eastAsia="宋体"/>
                <w:sz w:val="16"/>
              </w:rPr>
              <w:t>得分</w:t>
            </w:r>
          </w:p>
        </w:tc>
      </w:tr>
      <w:tr w14:paraId="35E0B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45F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947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BD1AF">
            <w:pPr>
              <w:jc w:val="center"/>
            </w:pPr>
            <w:r>
              <w:rPr>
                <w:rFonts w:ascii="宋体" w:hAnsi="宋体" w:eastAsia="宋体"/>
                <w:sz w:val="16"/>
              </w:rPr>
              <w:t>1,132.71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B43DC">
            <w:pPr>
              <w:jc w:val="center"/>
            </w:pPr>
            <w:r>
              <w:rPr>
                <w:rFonts w:ascii="宋体" w:hAnsi="宋体" w:eastAsia="宋体"/>
                <w:sz w:val="16"/>
              </w:rPr>
              <w:t>2,572.11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C568">
            <w:pPr>
              <w:jc w:val="center"/>
            </w:pPr>
            <w:r>
              <w:rPr>
                <w:rFonts w:ascii="宋体" w:hAnsi="宋体" w:eastAsia="宋体"/>
                <w:sz w:val="16"/>
              </w:rPr>
              <w:t>2,572.11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A4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15F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4A01">
            <w:pPr>
              <w:jc w:val="center"/>
            </w:pPr>
            <w:r>
              <w:rPr>
                <w:rFonts w:ascii="宋体" w:hAnsi="宋体" w:eastAsia="宋体"/>
                <w:sz w:val="16"/>
              </w:rPr>
              <w:t>10.00分</w:t>
            </w:r>
          </w:p>
        </w:tc>
      </w:tr>
      <w:tr w14:paraId="23F3A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B1B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4E3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230BB">
            <w:pPr>
              <w:jc w:val="center"/>
            </w:pPr>
            <w:r>
              <w:rPr>
                <w:rFonts w:ascii="宋体" w:hAnsi="宋体" w:eastAsia="宋体"/>
                <w:sz w:val="16"/>
              </w:rPr>
              <w:t>1,132.71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88B4">
            <w:pPr>
              <w:jc w:val="center"/>
            </w:pPr>
            <w:r>
              <w:rPr>
                <w:rFonts w:ascii="宋体" w:hAnsi="宋体" w:eastAsia="宋体"/>
                <w:sz w:val="16"/>
              </w:rPr>
              <w:t>2,572.11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4F60">
            <w:pPr>
              <w:jc w:val="center"/>
            </w:pPr>
            <w:r>
              <w:rPr>
                <w:rFonts w:ascii="宋体" w:hAnsi="宋体" w:eastAsia="宋体"/>
                <w:sz w:val="16"/>
              </w:rPr>
              <w:t>2,572.11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90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0BCA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64CE">
            <w:pPr>
              <w:jc w:val="center"/>
            </w:pPr>
            <w:r>
              <w:rPr>
                <w:rFonts w:ascii="宋体" w:hAnsi="宋体" w:eastAsia="宋体"/>
                <w:sz w:val="16"/>
              </w:rPr>
              <w:t>—</w:t>
            </w:r>
          </w:p>
        </w:tc>
      </w:tr>
      <w:tr w14:paraId="2DE95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5EE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293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59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0C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C94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9D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405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8136">
            <w:pPr>
              <w:jc w:val="center"/>
            </w:pPr>
            <w:r>
              <w:rPr>
                <w:rFonts w:ascii="宋体" w:hAnsi="宋体" w:eastAsia="宋体"/>
                <w:sz w:val="16"/>
              </w:rPr>
              <w:t>—</w:t>
            </w:r>
          </w:p>
        </w:tc>
      </w:tr>
      <w:tr w14:paraId="75BD84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921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221F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1872AD">
            <w:pPr>
              <w:jc w:val="center"/>
            </w:pPr>
            <w:r>
              <w:rPr>
                <w:rFonts w:ascii="宋体" w:hAnsi="宋体" w:eastAsia="宋体"/>
                <w:sz w:val="16"/>
              </w:rPr>
              <w:t>实际完成情况</w:t>
            </w:r>
          </w:p>
        </w:tc>
      </w:tr>
      <w:tr w14:paraId="1DBDA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EB0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01113">
            <w:pPr>
              <w:jc w:val="both"/>
            </w:pPr>
            <w:r>
              <w:rPr>
                <w:rFonts w:ascii="宋体" w:hAnsi="宋体" w:eastAsia="宋体"/>
                <w:sz w:val="16"/>
              </w:rPr>
              <w:t>项目主要用于偿还前期欠款项目1个，确保项目款项按期及时支付，提高政府部门的履约和服务能力，增强政府公信力。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736F3A">
            <w:pPr>
              <w:jc w:val="both"/>
            </w:pPr>
            <w:r>
              <w:rPr>
                <w:rFonts w:ascii="宋体" w:hAnsi="宋体" w:eastAsia="宋体"/>
                <w:sz w:val="16"/>
              </w:rPr>
              <w:t>已完成偿还前期1个欠款项目，确保项目款项按期及时支付。预算执行率为100%。项目的实施提高政府部门的履约和服务能力，增强政府公信力。</w:t>
            </w:r>
          </w:p>
        </w:tc>
      </w:tr>
      <w:tr w14:paraId="232FF8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578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83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06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A4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8DA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E1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9C3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234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06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89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FB7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0B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80EFD">
            <w:pPr>
              <w:jc w:val="center"/>
            </w:pPr>
            <w:r>
              <w:rPr>
                <w:rFonts w:ascii="宋体" w:hAnsi="宋体" w:eastAsia="宋体"/>
                <w:sz w:val="16"/>
              </w:rPr>
              <w:t>偏差原因分析及改进措施</w:t>
            </w:r>
          </w:p>
        </w:tc>
      </w:tr>
      <w:tr w14:paraId="33286C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CBB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5D7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07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50BF">
            <w:pPr>
              <w:jc w:val="center"/>
            </w:pPr>
            <w:r>
              <w:rPr>
                <w:rFonts w:ascii="宋体" w:hAnsi="宋体" w:eastAsia="宋体"/>
                <w:sz w:val="16"/>
              </w:rPr>
              <w:t>偿还欠款项目个数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12E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D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B5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61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E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14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16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D9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6021">
            <w:pPr>
              <w:jc w:val="center"/>
            </w:pPr>
          </w:p>
        </w:tc>
      </w:tr>
      <w:tr w14:paraId="38583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AE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521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CA7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096A">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5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F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58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57F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D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8C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AB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9D11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532EE">
            <w:pPr>
              <w:jc w:val="center"/>
            </w:pPr>
          </w:p>
        </w:tc>
      </w:tr>
      <w:tr w14:paraId="5B176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1C5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D7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92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4B8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3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DB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E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C8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D2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6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38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5B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D8FE">
            <w:pPr>
              <w:jc w:val="center"/>
            </w:pPr>
          </w:p>
        </w:tc>
      </w:tr>
      <w:tr w14:paraId="71EE87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53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E21E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5BB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75C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4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10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BA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29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C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40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E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64A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D23DD">
            <w:pPr>
              <w:jc w:val="center"/>
            </w:pPr>
          </w:p>
        </w:tc>
      </w:tr>
      <w:tr w14:paraId="4163A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C61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10B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B1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AE4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63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3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2FA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9C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07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B9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AFB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24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CB5E9">
            <w:pPr>
              <w:jc w:val="center"/>
            </w:pPr>
          </w:p>
        </w:tc>
      </w:tr>
      <w:tr w14:paraId="78660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C6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6F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F06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263C">
            <w:pPr>
              <w:jc w:val="center"/>
            </w:pPr>
            <w:r>
              <w:rPr>
                <w:rFonts w:ascii="宋体" w:hAnsi="宋体" w:eastAsia="宋体"/>
                <w:sz w:val="16"/>
              </w:rPr>
              <w:t>偿还欠款</w:t>
            </w:r>
            <w:r>
              <w:rPr>
                <w:rFonts w:hint="eastAsia" w:ascii="宋体" w:hAnsi="宋体"/>
                <w:sz w:val="16"/>
                <w:lang w:eastAsia="zh-CN"/>
              </w:rPr>
              <w:t>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13E6">
            <w:pPr>
              <w:jc w:val="center"/>
            </w:pPr>
            <w:r>
              <w:rPr>
                <w:rFonts w:ascii="宋体" w:hAnsi="宋体" w:eastAsia="宋体"/>
                <w:sz w:val="16"/>
              </w:rPr>
              <w:t>&lt;=2572.11万元/个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1A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28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85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46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C0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F834">
            <w:pPr>
              <w:jc w:val="center"/>
            </w:pPr>
            <w:r>
              <w:rPr>
                <w:rFonts w:ascii="宋体" w:hAnsi="宋体" w:eastAsia="宋体"/>
                <w:sz w:val="16"/>
              </w:rPr>
              <w:t>=2572.11万元/个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43AD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BED0F">
            <w:pPr>
              <w:jc w:val="center"/>
            </w:pPr>
          </w:p>
        </w:tc>
      </w:tr>
      <w:tr w14:paraId="68425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D5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05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B1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1035A">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AB5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4B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BC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6B7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57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83E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8FB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457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0036B">
            <w:pPr>
              <w:jc w:val="center"/>
            </w:pPr>
          </w:p>
        </w:tc>
      </w:tr>
      <w:tr w14:paraId="01739A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B34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C05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FBD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DB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3E7EB3"/>
        </w:tc>
      </w:tr>
    </w:tbl>
    <w:p w14:paraId="2FEDBE0F">
      <w:r>
        <w:br w:type="page"/>
      </w:r>
    </w:p>
    <w:p w14:paraId="046E1491">
      <w:pPr>
        <w:spacing w:line="640" w:lineRule="exact"/>
        <w:ind w:firstLine="640"/>
        <w:jc w:val="both"/>
        <w:outlineLvl w:val="2"/>
      </w:pPr>
      <w:r>
        <w:rPr>
          <w:rFonts w:ascii="黑体" w:hAnsi="黑体" w:eastAsia="黑体"/>
          <w:sz w:val="32"/>
        </w:rPr>
        <w:t>十二、其他需说明的事项</w:t>
      </w:r>
    </w:p>
    <w:p w14:paraId="3ADF85AC">
      <w:pPr>
        <w:spacing w:line="580" w:lineRule="exact"/>
        <w:ind w:firstLine="640"/>
        <w:jc w:val="both"/>
      </w:pPr>
      <w:r>
        <w:rPr>
          <w:rFonts w:ascii="仿宋_GB2312" w:hAnsi="仿宋_GB2312" w:eastAsia="仿宋_GB2312"/>
          <w:b w:val="0"/>
          <w:sz w:val="32"/>
        </w:rPr>
        <w:t>本单位无其他需说明的事项。</w:t>
      </w:r>
    </w:p>
    <w:p w14:paraId="4B61506A">
      <w:r>
        <w:br w:type="page"/>
      </w:r>
    </w:p>
    <w:p w14:paraId="0C13559C">
      <w:pPr>
        <w:spacing w:line="240" w:lineRule="auto"/>
        <w:jc w:val="center"/>
        <w:outlineLvl w:val="1"/>
      </w:pPr>
      <w:r>
        <w:rPr>
          <w:rFonts w:ascii="黑体" w:hAnsi="黑体" w:eastAsia="黑体"/>
          <w:sz w:val="32"/>
        </w:rPr>
        <w:t>第三部分 专业名词解释</w:t>
      </w:r>
    </w:p>
    <w:p w14:paraId="226172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70430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EB54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A76FDF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E563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618E3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12F9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CC9DA8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99503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01B297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61DB6D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D15E97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C844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D7129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B2CD22">
      <w:r>
        <w:br w:type="page"/>
      </w:r>
    </w:p>
    <w:p w14:paraId="61DA886E">
      <w:pPr>
        <w:spacing w:line="240" w:lineRule="auto"/>
        <w:jc w:val="center"/>
        <w:outlineLvl w:val="1"/>
      </w:pPr>
      <w:r>
        <w:rPr>
          <w:rFonts w:ascii="黑体" w:hAnsi="黑体" w:eastAsia="黑体"/>
          <w:sz w:val="32"/>
        </w:rPr>
        <w:t>第四部分 部门决算报表（见附表）</w:t>
      </w:r>
    </w:p>
    <w:p w14:paraId="314024DF">
      <w:pPr>
        <w:spacing w:line="240" w:lineRule="auto"/>
        <w:ind w:firstLine="640"/>
        <w:jc w:val="both"/>
      </w:pPr>
      <w:r>
        <w:rPr>
          <w:rFonts w:ascii="仿宋_GB2312" w:hAnsi="仿宋_GB2312" w:eastAsia="仿宋_GB2312"/>
          <w:b w:val="0"/>
          <w:sz w:val="32"/>
        </w:rPr>
        <w:t>一、《收入支出决算总表》</w:t>
      </w:r>
    </w:p>
    <w:p w14:paraId="6A7A0B29">
      <w:pPr>
        <w:spacing w:line="240" w:lineRule="auto"/>
        <w:ind w:firstLine="640"/>
        <w:jc w:val="both"/>
      </w:pPr>
      <w:r>
        <w:rPr>
          <w:rFonts w:ascii="仿宋_GB2312" w:hAnsi="仿宋_GB2312" w:eastAsia="仿宋_GB2312"/>
          <w:b w:val="0"/>
          <w:sz w:val="32"/>
        </w:rPr>
        <w:t>二、《收入决算表》</w:t>
      </w:r>
    </w:p>
    <w:p w14:paraId="313F6059">
      <w:pPr>
        <w:spacing w:line="240" w:lineRule="auto"/>
        <w:ind w:firstLine="640"/>
        <w:jc w:val="both"/>
      </w:pPr>
      <w:r>
        <w:rPr>
          <w:rFonts w:ascii="仿宋_GB2312" w:hAnsi="仿宋_GB2312" w:eastAsia="仿宋_GB2312"/>
          <w:b w:val="0"/>
          <w:sz w:val="32"/>
        </w:rPr>
        <w:t>三、《支出决算表》</w:t>
      </w:r>
    </w:p>
    <w:p w14:paraId="72BEC660">
      <w:pPr>
        <w:spacing w:line="240" w:lineRule="auto"/>
        <w:ind w:firstLine="640"/>
        <w:jc w:val="both"/>
      </w:pPr>
      <w:r>
        <w:rPr>
          <w:rFonts w:ascii="仿宋_GB2312" w:hAnsi="仿宋_GB2312" w:eastAsia="仿宋_GB2312"/>
          <w:b w:val="0"/>
          <w:sz w:val="32"/>
        </w:rPr>
        <w:t>四、《财政拨款收入支出决算总表》</w:t>
      </w:r>
    </w:p>
    <w:p w14:paraId="5AAF75F6">
      <w:pPr>
        <w:spacing w:line="240" w:lineRule="auto"/>
        <w:ind w:firstLine="640"/>
        <w:jc w:val="both"/>
      </w:pPr>
      <w:r>
        <w:rPr>
          <w:rFonts w:ascii="仿宋_GB2312" w:hAnsi="仿宋_GB2312" w:eastAsia="仿宋_GB2312"/>
          <w:b w:val="0"/>
          <w:sz w:val="32"/>
        </w:rPr>
        <w:t>五、《一般公共预算财政拨款支出决算表》</w:t>
      </w:r>
    </w:p>
    <w:p w14:paraId="35D9ACB9">
      <w:pPr>
        <w:spacing w:line="240" w:lineRule="auto"/>
        <w:ind w:firstLine="640"/>
        <w:jc w:val="both"/>
      </w:pPr>
      <w:r>
        <w:rPr>
          <w:rFonts w:ascii="仿宋_GB2312" w:hAnsi="仿宋_GB2312" w:eastAsia="仿宋_GB2312"/>
          <w:b w:val="0"/>
          <w:sz w:val="32"/>
        </w:rPr>
        <w:t>六、《一般公共预算财政拨款基本支出决算表》</w:t>
      </w:r>
    </w:p>
    <w:p w14:paraId="0ECDA6E8">
      <w:pPr>
        <w:spacing w:line="240" w:lineRule="auto"/>
        <w:ind w:firstLine="640"/>
        <w:jc w:val="both"/>
      </w:pPr>
      <w:r>
        <w:rPr>
          <w:rFonts w:ascii="仿宋_GB2312" w:hAnsi="仿宋_GB2312" w:eastAsia="仿宋_GB2312"/>
          <w:b w:val="0"/>
          <w:sz w:val="32"/>
        </w:rPr>
        <w:t>七、《政府性基金预算财政拨款收入支出决算表》</w:t>
      </w:r>
    </w:p>
    <w:p w14:paraId="5A05F3AC">
      <w:pPr>
        <w:spacing w:line="240" w:lineRule="auto"/>
        <w:ind w:firstLine="640"/>
        <w:jc w:val="both"/>
      </w:pPr>
      <w:r>
        <w:rPr>
          <w:rFonts w:ascii="仿宋_GB2312" w:hAnsi="仿宋_GB2312" w:eastAsia="仿宋_GB2312"/>
          <w:b w:val="0"/>
          <w:sz w:val="32"/>
        </w:rPr>
        <w:t>八、《国有资本经营预算财政拨款收入支出决算表》</w:t>
      </w:r>
    </w:p>
    <w:p w14:paraId="39854C26">
      <w:pPr>
        <w:spacing w:line="240" w:lineRule="auto"/>
        <w:ind w:firstLine="640"/>
        <w:jc w:val="both"/>
      </w:pPr>
      <w:r>
        <w:rPr>
          <w:rFonts w:ascii="仿宋_GB2312" w:hAnsi="仿宋_GB2312" w:eastAsia="仿宋_GB2312"/>
          <w:b w:val="0"/>
          <w:sz w:val="32"/>
        </w:rPr>
        <w:t>九、《财政拨款“三公”经费支出决算表》</w:t>
      </w:r>
    </w:p>
    <w:p w14:paraId="75CB754A">
      <w:pPr>
        <w:spacing w:line="240" w:lineRule="auto"/>
        <w:ind w:firstLine="640"/>
        <w:jc w:val="both"/>
      </w:pPr>
    </w:p>
    <w:p w14:paraId="32051DE9">
      <w:pPr>
        <w:spacing w:line="240" w:lineRule="auto"/>
        <w:ind w:firstLine="640"/>
        <w:jc w:val="both"/>
      </w:pPr>
    </w:p>
    <w:p w14:paraId="7214A9A0">
      <w:pPr>
        <w:spacing w:line="240" w:lineRule="auto"/>
        <w:ind w:firstLine="640"/>
        <w:jc w:val="both"/>
      </w:pPr>
    </w:p>
    <w:p w14:paraId="0194C3B6">
      <w:pPr>
        <w:spacing w:line="240" w:lineRule="auto"/>
        <w:ind w:firstLine="640"/>
        <w:jc w:val="both"/>
      </w:pPr>
    </w:p>
    <w:p w14:paraId="5E61FE5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DF692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33737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4474</Words>
  <Characters>5199</Characters>
  <Lines>0</Lines>
  <Paragraphs>0</Paragraphs>
  <TotalTime>3</TotalTime>
  <ScaleCrop>false</ScaleCrop>
  <LinksUpToDate>false</LinksUpToDate>
  <CharactersWithSpaces>5207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2025-09-12T11:25:46Z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