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岳普湖县乡村振兴局2024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69FD9E4">
      <w:r>
        <w:br w:type="page"/>
      </w:r>
    </w:p>
    <w:p w14:paraId="3A9D5DB1">
      <w:pPr>
        <w:spacing w:line="640" w:lineRule="exact"/>
        <w:jc w:val="center"/>
        <w:outlineLvl w:val="1"/>
      </w:pPr>
      <w:r>
        <w:rPr>
          <w:rFonts w:ascii="黑体" w:hAnsi="黑体" w:eastAsia="黑体"/>
          <w:sz w:val="32"/>
        </w:rPr>
        <w:t>第一部分 单位概况</w:t>
      </w:r>
    </w:p>
    <w:p w14:paraId="6E13DC5D">
      <w:pPr>
        <w:spacing w:line="640" w:lineRule="exact"/>
        <w:ind w:firstLine="640"/>
        <w:jc w:val="both"/>
        <w:outlineLvl w:val="2"/>
      </w:pPr>
      <w:r>
        <w:rPr>
          <w:rFonts w:ascii="黑体" w:hAnsi="黑体" w:eastAsia="黑体"/>
          <w:sz w:val="32"/>
        </w:rPr>
        <w:t>一、主要职能</w:t>
      </w:r>
    </w:p>
    <w:p w14:paraId="6070B5FB">
      <w:pPr>
        <w:spacing w:line="580" w:lineRule="exact"/>
        <w:ind w:firstLine="640"/>
        <w:jc w:val="both"/>
      </w:pPr>
      <w:r>
        <w:rPr>
          <w:rFonts w:ascii="仿宋_GB2312" w:hAnsi="仿宋_GB2312" w:eastAsia="仿宋_GB2312"/>
          <w:sz w:val="32"/>
        </w:rPr>
        <w:t>巩固拓展脱贫攻坚成果；统筹推进巩固拓展脱贫攻坚成果同乡村振兴有效衔接，配合上级开展相关考核工作；组织开展防止返贫监测和帮扶；统筹加强扶贫项目资产管理，牵头实施乡村建设行动，推动完善农村基础设施；协调推动乡村治理体系建设；研究乡村振兴相关问题，承担乡村振兴督导、检查具体工作。</w:t>
      </w:r>
    </w:p>
    <w:p w14:paraId="5D688983">
      <w:pPr>
        <w:spacing w:line="640" w:lineRule="exact"/>
        <w:ind w:firstLine="640"/>
        <w:jc w:val="both"/>
        <w:outlineLvl w:val="2"/>
      </w:pPr>
      <w:r>
        <w:rPr>
          <w:rFonts w:ascii="黑体" w:hAnsi="黑体" w:eastAsia="黑体"/>
          <w:sz w:val="32"/>
        </w:rPr>
        <w:t>二、机构设置及人员情况</w:t>
      </w:r>
    </w:p>
    <w:p w14:paraId="0860ADBD">
      <w:pPr>
        <w:spacing w:line="580" w:lineRule="exact"/>
        <w:ind w:firstLine="640"/>
        <w:jc w:val="both"/>
      </w:pPr>
      <w:r>
        <w:rPr>
          <w:rFonts w:ascii="仿宋_GB2312" w:hAnsi="仿宋_GB2312" w:eastAsia="仿宋_GB2312"/>
          <w:sz w:val="32"/>
        </w:rPr>
        <w:t>岳普湖县乡村振兴局2024年度，实有人数29人，其中：在职人员26人，减少3人；离休人员0人，增加0人；退休人员3人,减少1人。</w:t>
      </w:r>
    </w:p>
    <w:p w14:paraId="5745DA87">
      <w:pPr>
        <w:spacing w:line="580" w:lineRule="exact"/>
        <w:ind w:firstLine="640"/>
        <w:jc w:val="both"/>
      </w:pPr>
      <w:r>
        <w:rPr>
          <w:rFonts w:ascii="仿宋_GB2312" w:hAnsi="仿宋_GB2312" w:eastAsia="仿宋_GB2312"/>
          <w:sz w:val="32"/>
        </w:rPr>
        <w:t>岳普湖县乡村振兴局无下属预算单位，下设2个科室，分别是：综合办公室、项目办公室。</w:t>
      </w:r>
    </w:p>
    <w:p w14:paraId="07E00B29">
      <w:r>
        <w:br w:type="page"/>
      </w:r>
    </w:p>
    <w:p w14:paraId="249CCE5D">
      <w:pPr>
        <w:spacing w:line="240" w:lineRule="auto"/>
        <w:jc w:val="center"/>
        <w:outlineLvl w:val="1"/>
      </w:pPr>
      <w:r>
        <w:rPr>
          <w:rFonts w:ascii="黑体" w:hAnsi="黑体" w:eastAsia="黑体"/>
          <w:sz w:val="32"/>
        </w:rPr>
        <w:t>第二部分 部门决算情况说明</w:t>
      </w:r>
    </w:p>
    <w:p w14:paraId="08F0B842">
      <w:pPr>
        <w:spacing w:line="640" w:lineRule="exact"/>
        <w:ind w:firstLine="640"/>
        <w:jc w:val="both"/>
        <w:outlineLvl w:val="2"/>
      </w:pPr>
      <w:r>
        <w:rPr>
          <w:rFonts w:ascii="黑体" w:hAnsi="黑体" w:eastAsia="黑体"/>
          <w:sz w:val="32"/>
        </w:rPr>
        <w:t>一、收入支出决算总体情况说明</w:t>
      </w:r>
    </w:p>
    <w:p w14:paraId="00F6EDF2">
      <w:pPr>
        <w:spacing w:line="580" w:lineRule="exact"/>
        <w:ind w:firstLine="640"/>
        <w:jc w:val="both"/>
      </w:pPr>
      <w:r>
        <w:rPr>
          <w:rFonts w:ascii="仿宋_GB2312" w:hAnsi="仿宋_GB2312" w:eastAsia="仿宋_GB2312"/>
          <w:b/>
          <w:sz w:val="32"/>
        </w:rPr>
        <w:t>2024年度收入总计1,960.27万元，</w:t>
      </w:r>
      <w:r>
        <w:rPr>
          <w:rFonts w:ascii="仿宋_GB2312" w:hAnsi="仿宋_GB2312" w:eastAsia="仿宋_GB2312"/>
          <w:b w:val="0"/>
          <w:sz w:val="32"/>
        </w:rPr>
        <w:t>其中：本年收入合计1,960.27万元，使用非财政拨款结余（含专用结余）0.00万元，年初结转和结余0.00万元。</w:t>
      </w:r>
    </w:p>
    <w:p w14:paraId="1A1FE0D0">
      <w:pPr>
        <w:spacing w:line="580" w:lineRule="exact"/>
        <w:ind w:firstLine="640"/>
        <w:jc w:val="both"/>
      </w:pPr>
      <w:r>
        <w:rPr>
          <w:rFonts w:ascii="仿宋_GB2312" w:hAnsi="仿宋_GB2312" w:eastAsia="仿宋_GB2312"/>
          <w:b/>
          <w:sz w:val="32"/>
        </w:rPr>
        <w:t>2024年度支出总计1,960.27万元，</w:t>
      </w:r>
      <w:r>
        <w:rPr>
          <w:rFonts w:ascii="仿宋_GB2312" w:hAnsi="仿宋_GB2312" w:eastAsia="仿宋_GB2312"/>
          <w:b w:val="0"/>
          <w:sz w:val="32"/>
        </w:rPr>
        <w:t>其中：本年支出合计1,960.27万元，结余分配0.00万元，年末结转和结余0.00万元。</w:t>
      </w:r>
    </w:p>
    <w:p w14:paraId="2F432C7D">
      <w:pPr>
        <w:spacing w:line="580" w:lineRule="exact"/>
        <w:ind w:firstLine="640"/>
        <w:jc w:val="both"/>
      </w:pPr>
      <w:r>
        <w:rPr>
          <w:rFonts w:ascii="仿宋_GB2312" w:hAnsi="仿宋_GB2312" w:eastAsia="仿宋_GB2312"/>
          <w:b w:val="0"/>
          <w:sz w:val="32"/>
        </w:rPr>
        <w:t>收入支出总体与上年相比，增加1,226.50万元，增长167.15%，主要原因是：本年乡村振兴重点示范村建设项目，乡村振兴示范村建设项目（基础设施建设），乡村振兴示范村建设项目（碎片化土地整治）等项目资金较上年增加。</w:t>
      </w:r>
    </w:p>
    <w:p w14:paraId="5E007794">
      <w:pPr>
        <w:spacing w:line="640" w:lineRule="exact"/>
        <w:ind w:firstLine="640"/>
        <w:jc w:val="both"/>
        <w:outlineLvl w:val="2"/>
      </w:pPr>
      <w:r>
        <w:rPr>
          <w:rFonts w:ascii="黑体" w:hAnsi="黑体" w:eastAsia="黑体"/>
          <w:sz w:val="32"/>
        </w:rPr>
        <w:t>二、收入决算情况说明</w:t>
      </w:r>
    </w:p>
    <w:p w14:paraId="03F3D52F">
      <w:pPr>
        <w:spacing w:line="580" w:lineRule="exact"/>
        <w:ind w:firstLine="640"/>
        <w:jc w:val="both"/>
      </w:pPr>
      <w:r>
        <w:rPr>
          <w:rFonts w:ascii="仿宋_GB2312" w:hAnsi="仿宋_GB2312" w:eastAsia="仿宋_GB2312"/>
          <w:b/>
          <w:sz w:val="32"/>
        </w:rPr>
        <w:t>本年收入1,960.27万元，</w:t>
      </w:r>
      <w:r>
        <w:rPr>
          <w:rFonts w:ascii="仿宋_GB2312" w:hAnsi="仿宋_GB2312" w:eastAsia="仿宋_GB2312"/>
          <w:b w:val="0"/>
          <w:sz w:val="32"/>
        </w:rPr>
        <w:t>其中：财政拨款收入1,960.27万元，占100.00%；上级补助收入0.00万元，占0.00%；事业收入0.00万元，占0.00%；经营收入0.00万元，占0.00%；附属单位上缴收入0.00万元，占0.00%；其他收入0.00万元，占0.00%。</w:t>
      </w:r>
    </w:p>
    <w:p w14:paraId="2F1187BE">
      <w:pPr>
        <w:spacing w:line="640" w:lineRule="exact"/>
        <w:ind w:firstLine="640"/>
        <w:jc w:val="both"/>
        <w:outlineLvl w:val="2"/>
      </w:pPr>
      <w:r>
        <w:rPr>
          <w:rFonts w:ascii="黑体" w:hAnsi="黑体" w:eastAsia="黑体"/>
          <w:sz w:val="32"/>
        </w:rPr>
        <w:t>三、支出决算情况说明</w:t>
      </w:r>
    </w:p>
    <w:p w14:paraId="73A04A45">
      <w:pPr>
        <w:spacing w:line="580" w:lineRule="exact"/>
        <w:ind w:firstLine="640"/>
        <w:jc w:val="both"/>
      </w:pPr>
      <w:r>
        <w:rPr>
          <w:rFonts w:ascii="仿宋_GB2312" w:hAnsi="仿宋_GB2312" w:eastAsia="仿宋_GB2312"/>
          <w:b/>
          <w:sz w:val="32"/>
        </w:rPr>
        <w:t>本年支出1,960.27万元，</w:t>
      </w:r>
      <w:r>
        <w:rPr>
          <w:rFonts w:ascii="仿宋_GB2312" w:hAnsi="仿宋_GB2312" w:eastAsia="仿宋_GB2312"/>
          <w:b w:val="0"/>
          <w:sz w:val="32"/>
        </w:rPr>
        <w:t>其中：基本支出464.02万元，占23.67%；项目支出1,496.26万元，占76.33%；上缴上级支出0.00万元，占0.00%；经营支出0.00万元，占0.00%；对附属单位补助支出0.00万元，占0.00%。</w:t>
      </w:r>
    </w:p>
    <w:p w14:paraId="2EA4928E">
      <w:pPr>
        <w:spacing w:line="640" w:lineRule="exact"/>
        <w:ind w:firstLine="640"/>
        <w:jc w:val="both"/>
        <w:outlineLvl w:val="2"/>
      </w:pPr>
      <w:r>
        <w:rPr>
          <w:rFonts w:ascii="黑体" w:hAnsi="黑体" w:eastAsia="黑体"/>
          <w:sz w:val="32"/>
        </w:rPr>
        <w:t>四、财政拨款收入支出决算总体情况说明</w:t>
      </w:r>
    </w:p>
    <w:p w14:paraId="7ADB774F">
      <w:pPr>
        <w:spacing w:line="580" w:lineRule="exact"/>
        <w:ind w:firstLine="640"/>
        <w:jc w:val="both"/>
      </w:pPr>
      <w:r>
        <w:rPr>
          <w:rFonts w:ascii="仿宋_GB2312" w:hAnsi="仿宋_GB2312" w:eastAsia="仿宋_GB2312"/>
          <w:b/>
          <w:sz w:val="32"/>
        </w:rPr>
        <w:t>2024年度财政拨款收入总计1,960.27万元，</w:t>
      </w:r>
      <w:r>
        <w:rPr>
          <w:rFonts w:ascii="仿宋_GB2312" w:hAnsi="仿宋_GB2312" w:eastAsia="仿宋_GB2312"/>
          <w:b w:val="0"/>
          <w:sz w:val="32"/>
        </w:rPr>
        <w:t>其中：年初财政拨款结转和结余0.00万元，本年财政拨款收入1,960.27万元。</w:t>
      </w:r>
      <w:r>
        <w:rPr>
          <w:rFonts w:ascii="仿宋_GB2312" w:hAnsi="仿宋_GB2312" w:eastAsia="仿宋_GB2312"/>
          <w:b/>
          <w:sz w:val="32"/>
        </w:rPr>
        <w:t>财政拨款支出总计1,960.27万元，</w:t>
      </w:r>
      <w:r>
        <w:rPr>
          <w:rFonts w:ascii="仿宋_GB2312" w:hAnsi="仿宋_GB2312" w:eastAsia="仿宋_GB2312"/>
          <w:b w:val="0"/>
          <w:sz w:val="32"/>
        </w:rPr>
        <w:t>其中：年末财政拨款结转和结余0.00万元，本年财政拨款支出1,960.27万元。</w:t>
      </w:r>
    </w:p>
    <w:p w14:paraId="194EBF7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增加1,226.50万元，增长167.15%，主要原因是：本年乡村振兴重点示范村建设项目，乡村振兴示范村建设项目（基础设施建设），乡村振兴示范村建设项目（碎片化土地整治）等项目资金较上年增加。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年初预算数26,598.55万元，决算数1,960.27万元，预决算差异率-92.63%，主要原因是：年中调减巩固脱贫衔接乡村振兴项目，导致预决算存在差异。</w:t>
      </w:r>
    </w:p>
    <w:p w14:paraId="753D049D">
      <w:pPr>
        <w:spacing w:line="640" w:lineRule="exact"/>
        <w:ind w:firstLine="640"/>
        <w:jc w:val="both"/>
        <w:outlineLvl w:val="2"/>
      </w:pPr>
      <w:r>
        <w:rPr>
          <w:rFonts w:ascii="黑体" w:hAnsi="黑体" w:eastAsia="黑体"/>
          <w:sz w:val="32"/>
        </w:rPr>
        <w:t>五、一般公共预算财政拨款支出决算情况说明</w:t>
      </w:r>
    </w:p>
    <w:p w14:paraId="392E865F">
      <w:pPr>
        <w:spacing w:line="640" w:lineRule="exact"/>
        <w:ind w:firstLine="640"/>
        <w:jc w:val="both"/>
        <w:outlineLvl w:val="3"/>
      </w:pPr>
      <w:r>
        <w:rPr>
          <w:rFonts w:ascii="楷体_GB2312" w:hAnsi="楷体_GB2312" w:eastAsia="楷体_GB2312"/>
          <w:b/>
          <w:sz w:val="32"/>
        </w:rPr>
        <w:t>（一）一般公共预算财政拨款支出决算总体情况</w:t>
      </w:r>
    </w:p>
    <w:p w14:paraId="43940422">
      <w:pPr>
        <w:spacing w:line="580" w:lineRule="exact"/>
        <w:ind w:firstLine="640"/>
        <w:jc w:val="both"/>
      </w:pPr>
      <w:r>
        <w:rPr>
          <w:rFonts w:ascii="仿宋_GB2312" w:hAnsi="仿宋_GB2312" w:eastAsia="仿宋_GB2312"/>
          <w:b/>
          <w:sz w:val="32"/>
        </w:rPr>
        <w:t>2024年度一般公共预算财政拨款支出1,960.27万元，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增加1,226.50万元，增长167.15%，主要原因是：本年乡村振兴重点示范村建设项目，乡村振兴示范村建设项目（基础设施建设），乡村振兴示范村建设项目（碎片化土地整治）等项目资金较上年增加。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年初预算数26,598.55万元，决算数1,960.27万元，预决算差异率-92.63%，主要原因是：年中调减巩固脱贫衔接乡村振兴项目，导致预决算存在差异。</w:t>
      </w:r>
    </w:p>
    <w:p w14:paraId="4BC3E4D8">
      <w:pPr>
        <w:spacing w:line="640" w:lineRule="exact"/>
        <w:ind w:firstLine="640"/>
        <w:jc w:val="both"/>
        <w:outlineLvl w:val="3"/>
      </w:pPr>
      <w:r>
        <w:rPr>
          <w:rFonts w:ascii="楷体_GB2312" w:hAnsi="楷体_GB2312" w:eastAsia="楷体_GB2312"/>
          <w:b/>
          <w:sz w:val="32"/>
        </w:rPr>
        <w:t>（二）一般公共预算财政拨款支出决算结构情况</w:t>
      </w:r>
    </w:p>
    <w:p w14:paraId="74CBEE19">
      <w:pPr>
        <w:spacing w:line="580" w:lineRule="exact"/>
        <w:ind w:firstLine="640"/>
        <w:jc w:val="both"/>
      </w:pPr>
      <w:r>
        <w:rPr>
          <w:rFonts w:ascii="仿宋_GB2312" w:hAnsi="仿宋_GB2312" w:eastAsia="仿宋_GB2312"/>
          <w:b w:val="0"/>
          <w:sz w:val="32"/>
        </w:rPr>
        <w:t>1.一般公共服务支出(类)356.36万元,占18.18%。</w:t>
      </w:r>
    </w:p>
    <w:p w14:paraId="4E35BB8E">
      <w:pPr>
        <w:spacing w:line="580" w:lineRule="exact"/>
        <w:ind w:firstLine="640"/>
        <w:jc w:val="both"/>
      </w:pPr>
      <w:r>
        <w:rPr>
          <w:rFonts w:ascii="仿宋_GB2312" w:hAnsi="仿宋_GB2312" w:eastAsia="仿宋_GB2312"/>
          <w:b w:val="0"/>
          <w:sz w:val="32"/>
        </w:rPr>
        <w:t>2.社会保障和就业支出(类)50.77万元,占2.59%。</w:t>
      </w:r>
    </w:p>
    <w:p w14:paraId="328AFBB1">
      <w:pPr>
        <w:spacing w:line="580" w:lineRule="exact"/>
        <w:ind w:firstLine="640"/>
        <w:jc w:val="both"/>
      </w:pPr>
      <w:r>
        <w:rPr>
          <w:rFonts w:ascii="仿宋_GB2312" w:hAnsi="仿宋_GB2312" w:eastAsia="仿宋_GB2312"/>
          <w:b w:val="0"/>
          <w:sz w:val="32"/>
        </w:rPr>
        <w:t>3.卫生健康支出(类)19.67万元,占1.00%。</w:t>
      </w:r>
    </w:p>
    <w:p w14:paraId="59C59188">
      <w:pPr>
        <w:spacing w:line="580" w:lineRule="exact"/>
        <w:ind w:firstLine="640"/>
        <w:jc w:val="both"/>
      </w:pPr>
      <w:r>
        <w:rPr>
          <w:rFonts w:ascii="仿宋_GB2312" w:hAnsi="仿宋_GB2312" w:eastAsia="仿宋_GB2312"/>
          <w:b w:val="0"/>
          <w:sz w:val="32"/>
        </w:rPr>
        <w:t>4.农林水支出(类)1,496.26万元,占76.33%。</w:t>
      </w:r>
    </w:p>
    <w:p w14:paraId="4CEAB850">
      <w:pPr>
        <w:spacing w:line="580" w:lineRule="exact"/>
        <w:ind w:firstLine="640"/>
        <w:jc w:val="both"/>
      </w:pPr>
      <w:r>
        <w:rPr>
          <w:rFonts w:ascii="仿宋_GB2312" w:hAnsi="仿宋_GB2312" w:eastAsia="仿宋_GB2312"/>
          <w:b w:val="0"/>
          <w:sz w:val="32"/>
        </w:rPr>
        <w:t>5.住房保障支出(类)37.22万元,占1.90%。</w:t>
      </w:r>
    </w:p>
    <w:p w14:paraId="381911CE">
      <w:pPr>
        <w:spacing w:line="640" w:lineRule="exact"/>
        <w:ind w:firstLine="640"/>
        <w:jc w:val="both"/>
        <w:outlineLvl w:val="3"/>
      </w:pPr>
      <w:r>
        <w:rPr>
          <w:rFonts w:ascii="楷体_GB2312" w:hAnsi="楷体_GB2312" w:eastAsia="楷体_GB2312"/>
          <w:b/>
          <w:sz w:val="32"/>
        </w:rPr>
        <w:t>（三）一般公共预算财政拨款支出决算具体情况</w:t>
      </w:r>
    </w:p>
    <w:p w14:paraId="16AA241C">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1.一般公共服务支出(类)政府办公厅（室）及相关机构事务(款)行政运行(项):支出决算数为356.36万元，比上年决算减少48.37万元，下降11.95%,主要原因是：本年在职人员减少，相应人员经费较上年减少。</w:t>
      </w:r>
    </w:p>
    <w:p w14:paraId="40704C82">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2.社会保障和就业支出(类)行政事业单位养老支出(款)行政单位离退休(项):支出决算数为5.66万元，比上年决算增加1.36万元，增长31.63%,主要原因是：本年增加退休人员基础绩效奖，退休费支出增加。</w:t>
      </w:r>
    </w:p>
    <w:p w14:paraId="48E403F0">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45.11万元，比上年决算减少0.63万元，下降1.38%,主要原因是：本年在职人员减少，单位基本养老保险缴费较上年减少。</w:t>
      </w:r>
    </w:p>
    <w:p w14:paraId="7380287B">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0.00万元，比上年决算减少7.36万元，下降100.00%,主要原因是：本年无新增退休人员，职业年金缴费较上年减少。</w:t>
      </w:r>
    </w:p>
    <w:p w14:paraId="63BDF224">
      <w:pPr>
        <w:spacing w:line="580" w:lineRule="exact"/>
        <w:ind w:firstLine="640"/>
        <w:jc w:val="both"/>
      </w:pPr>
      <w:r>
        <w:rPr>
          <w:rFonts w:ascii="仿宋_GB2312" w:hAnsi="仿宋_GB2312" w:eastAsia="仿宋_GB2312"/>
          <w:b w:val="0"/>
          <w:sz w:val="32"/>
        </w:rPr>
        <w:t>5.卫生健康支出(类)行政事业单位医疗(款)行政单位医疗(项):支出决算数为19.17万元，比上年决算减少2.31万元，下降10.75%,主要原因是：本年在职人员减少，行政单位医疗支出较上年减少。</w:t>
      </w:r>
    </w:p>
    <w:p w14:paraId="0D01247B">
      <w:pPr>
        <w:spacing w:line="580" w:lineRule="exact"/>
        <w:ind w:firstLine="640"/>
        <w:jc w:val="both"/>
      </w:pPr>
      <w:r>
        <w:rPr>
          <w:rFonts w:ascii="仿宋_GB2312" w:hAnsi="仿宋_GB2312" w:eastAsia="仿宋_GB2312"/>
          <w:b w:val="0"/>
          <w:sz w:val="32"/>
        </w:rPr>
        <w:t>6.卫生健康支出(类)行政事业单位医疗(款)公务员医疗补助(项):支出决算数为0.50万元，比上年决算减少0.61万元，下降54.95%,主要原因是：本年在职人员减少，公务员医疗补助较上年减少。</w:t>
      </w:r>
    </w:p>
    <w:p w14:paraId="33F577C6">
      <w:pPr>
        <w:spacing w:line="580" w:lineRule="exact"/>
        <w:ind w:firstLine="640"/>
        <w:jc w:val="both"/>
      </w:pPr>
      <w:r>
        <w:rPr>
          <w:rFonts w:ascii="仿宋_GB2312" w:hAnsi="仿宋_GB2312" w:eastAsia="仿宋_GB2312"/>
          <w:b w:val="0"/>
          <w:sz w:val="32"/>
        </w:rPr>
        <w:t>7.农林水支出(类)</w:t>
      </w:r>
      <w:bookmarkStart w:id="0" w:name="_GoBack"/>
      <w:r>
        <w:rPr>
          <w:rFonts w:ascii="仿宋_GB2312" w:hAnsi="仿宋_GB2312" w:eastAsia="仿宋_GB2312"/>
          <w:b w:val="0"/>
          <w:sz w:val="32"/>
        </w:rPr>
        <w:t>巩固脱贫攻坚成果</w:t>
      </w:r>
      <w:bookmarkEnd w:id="0"/>
      <w:r>
        <w:rPr>
          <w:rFonts w:ascii="仿宋_GB2312" w:hAnsi="仿宋_GB2312" w:eastAsia="仿宋_GB2312"/>
          <w:b w:val="0"/>
          <w:sz w:val="32"/>
        </w:rPr>
        <w:t>衔接乡村振兴(款)生产发展(项):支出决算数为1,496.26万元，比上年决算增加1,311.36万元，增长709.23%,主要原因是：本年乡村振兴重点示范村建设项目，乡村振兴示范村建设项目（基础设施建设），乡村振兴示范村建设项目（碎片化土地整治）等项目资金较上年增加。</w:t>
      </w:r>
    </w:p>
    <w:p w14:paraId="294235D1">
      <w:pPr>
        <w:spacing w:line="580" w:lineRule="exact"/>
        <w:ind w:firstLine="640"/>
        <w:jc w:val="both"/>
      </w:pPr>
      <w:r>
        <w:rPr>
          <w:rFonts w:ascii="仿宋_GB2312" w:hAnsi="仿宋_GB2312" w:eastAsia="仿宋_GB2312"/>
          <w:b w:val="0"/>
          <w:sz w:val="32"/>
        </w:rPr>
        <w:t>8.农林水支出(类)巩固脱贫攻坚成果衔接乡村振兴(款)其他巩固脱贫攻坚成果衔接乡村振兴支出(项):支出决算数为0.00万元，比上年决算减少28.00万元，下降100.00%,主要原因是：本年减少岳普湖县“十四五”乡村振兴规划咨询服务费。</w:t>
      </w:r>
    </w:p>
    <w:p w14:paraId="3675E939">
      <w:pPr>
        <w:spacing w:line="580" w:lineRule="exact"/>
        <w:ind w:firstLine="640"/>
        <w:jc w:val="both"/>
      </w:pPr>
      <w:r>
        <w:rPr>
          <w:rFonts w:ascii="仿宋_GB2312" w:hAnsi="仿宋_GB2312" w:eastAsia="仿宋_GB2312"/>
          <w:b w:val="0"/>
          <w:sz w:val="32"/>
        </w:rPr>
        <w:t>9.住房保障支出(类)住房改革支出(款)住房公积金(项):支出决算数为37.22万元，比上年决算增加1.07万元，增长2.96%,主要原因是：本年在职人员工资基数调增，公积金缴费基数上涨，相应支出增加。</w:t>
      </w:r>
    </w:p>
    <w:p w14:paraId="7ABDF4B3">
      <w:pPr>
        <w:spacing w:line="640" w:lineRule="exact"/>
        <w:ind w:firstLine="640"/>
        <w:jc w:val="both"/>
        <w:outlineLvl w:val="2"/>
      </w:pPr>
      <w:r>
        <w:rPr>
          <w:rFonts w:ascii="黑体" w:hAnsi="黑体" w:eastAsia="黑体"/>
          <w:sz w:val="32"/>
        </w:rPr>
        <w:t>六、一般公共预算财政拨款基本支出决算情况说明</w:t>
      </w:r>
    </w:p>
    <w:p w14:paraId="115045D8">
      <w:pPr>
        <w:spacing w:line="580" w:lineRule="exact"/>
        <w:ind w:firstLine="640"/>
        <w:jc w:val="both"/>
      </w:pPr>
      <w:r>
        <w:rPr>
          <w:rFonts w:ascii="仿宋_GB2312" w:hAnsi="仿宋_GB2312" w:eastAsia="仿宋_GB2312"/>
          <w:b w:val="0"/>
          <w:sz w:val="32"/>
        </w:rPr>
        <w:t>2024年度一般公共预算财政拨款基本支出464.02万元，其中：</w:t>
      </w:r>
      <w:r>
        <w:rPr>
          <w:rFonts w:ascii="仿宋_GB2312" w:hAnsi="仿宋_GB2312" w:eastAsia="仿宋_GB2312"/>
          <w:b/>
          <w:sz w:val="32"/>
        </w:rPr>
        <w:t>人员经费450.40万元，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包括：基本工资、津贴补贴、奖金、绩效工资、机关事业单位基本养老保险缴费、职工基本医疗保险缴费、公务员医疗补助缴费、其他社会保障缴费、住房公积金、退休费、奖励金。</w:t>
      </w:r>
    </w:p>
    <w:p w14:paraId="1677024A">
      <w:pPr>
        <w:spacing w:line="580" w:lineRule="exact"/>
        <w:ind w:firstLine="640"/>
        <w:jc w:val="both"/>
      </w:pPr>
      <w:r>
        <w:rPr>
          <w:rFonts w:ascii="仿宋_GB2312" w:hAnsi="仿宋_GB2312" w:eastAsia="仿宋_GB2312"/>
          <w:b/>
          <w:sz w:val="32"/>
        </w:rPr>
        <w:t>公用经费13.61万元，</w:t>
      </w:r>
      <w:r>
        <w:rPr>
          <w:rFonts w:ascii="仿宋_GB2312" w:hAnsi="仿宋_GB2312" w:eastAsia="仿宋_GB2312"/>
          <w:b w:val="0"/>
          <w:sz w:val="32"/>
        </w:rPr>
        <w:t>包括：办公费、印刷费、水费、电费、邮电费、差旅费、维修（护）费、公务用车运行维护费。</w:t>
      </w:r>
    </w:p>
    <w:p w14:paraId="06201EE1">
      <w:pPr>
        <w:spacing w:line="640" w:lineRule="exact"/>
        <w:ind w:firstLine="640"/>
        <w:jc w:val="both"/>
        <w:outlineLvl w:val="2"/>
      </w:pPr>
      <w:r>
        <w:rPr>
          <w:rFonts w:ascii="黑体" w:hAnsi="黑体" w:eastAsia="黑体"/>
          <w:sz w:val="32"/>
        </w:rPr>
        <w:t>七、政府性基金预算财政拨款收入支出决算情况说明</w:t>
      </w:r>
    </w:p>
    <w:p w14:paraId="5EF48D7A">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3485C56D">
      <w:pPr>
        <w:spacing w:line="640" w:lineRule="exact"/>
        <w:ind w:firstLine="640"/>
        <w:jc w:val="both"/>
        <w:outlineLvl w:val="2"/>
      </w:pPr>
      <w:r>
        <w:rPr>
          <w:rFonts w:ascii="黑体" w:hAnsi="黑体" w:eastAsia="黑体"/>
          <w:sz w:val="32"/>
        </w:rPr>
        <w:t>八、国有资本经营预算财政拨款收入支出决算情况说明</w:t>
      </w:r>
    </w:p>
    <w:p w14:paraId="0B52B15F">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2F96E46">
      <w:pPr>
        <w:spacing w:line="640" w:lineRule="exact"/>
        <w:ind w:firstLine="640"/>
        <w:jc w:val="both"/>
        <w:outlineLvl w:val="2"/>
      </w:pPr>
      <w:r>
        <w:rPr>
          <w:rFonts w:ascii="黑体" w:hAnsi="黑体" w:eastAsia="黑体"/>
          <w:sz w:val="32"/>
        </w:rPr>
        <w:t>九、财政拨款“三公”经费支出决算情况说明</w:t>
      </w:r>
    </w:p>
    <w:p w14:paraId="3673B5E1">
      <w:pPr>
        <w:spacing w:line="580" w:lineRule="exact"/>
        <w:ind w:firstLine="640"/>
        <w:jc w:val="both"/>
      </w:pPr>
      <w:r>
        <w:rPr>
          <w:rFonts w:ascii="仿宋_GB2312" w:hAnsi="仿宋_GB2312" w:eastAsia="仿宋_GB2312"/>
          <w:b/>
          <w:sz w:val="32"/>
        </w:rPr>
        <w:t>2024年度财政拨款“三公”经费支出4.96万元，</w:t>
      </w:r>
      <w:r>
        <w:rPr>
          <w:rFonts w:ascii="仿宋_GB2312" w:hAnsi="仿宋_GB2312" w:eastAsia="仿宋_GB2312"/>
          <w:b w:val="0"/>
          <w:sz w:val="32"/>
        </w:rPr>
        <w:t>比上年增加0.61万元，增长14.02%，主要原因是：本年支付以前年度公务用车维修费。其中：因公出国（境）费支出0.00万元，占0.00%，比上年增加0.00万元，增长0.00%，主要原因是：2023年与2024年均未安排因公出国（境）费支出。公务用车购置及运行维护费支出4.96万元，占100.00%，比上年增加0.61万元，增长14.02%，主要原因是：本年支付以前年度公务用车维修费。公务接待费支出0.00万元，占0.00%，比上年增加0.00万元，增长0.00%，主要原因是：2023年与2024年均未安排公务接待费支出。</w:t>
      </w:r>
    </w:p>
    <w:p w14:paraId="34875F99">
      <w:pPr>
        <w:spacing w:line="580" w:lineRule="exact"/>
        <w:ind w:firstLine="640"/>
        <w:jc w:val="both"/>
      </w:pPr>
      <w:r>
        <w:rPr>
          <w:rFonts w:ascii="仿宋_GB2312" w:hAnsi="仿宋_GB2312" w:eastAsia="仿宋_GB2312"/>
          <w:b/>
          <w:sz w:val="32"/>
        </w:rPr>
        <w:t>具体情况如下：</w:t>
      </w:r>
    </w:p>
    <w:p w14:paraId="7A53A68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70D063FE">
      <w:pPr>
        <w:spacing w:line="580" w:lineRule="exact"/>
        <w:ind w:firstLine="640"/>
        <w:jc w:val="both"/>
      </w:pPr>
      <w:r>
        <w:rPr>
          <w:rFonts w:ascii="仿宋_GB2312" w:hAnsi="仿宋_GB2312" w:eastAsia="仿宋_GB2312"/>
          <w:b w:val="0"/>
          <w:sz w:val="32"/>
        </w:rPr>
        <w:t>公务用车购置及运行维护费4.96万元，其中：公务用车购置费0.00万元，公务用车运行维护费4.96万元。公务用车运行维护费开支内容包括车辆加油费、维修费、保险费、审车费、过路费等。公务用车购置数0辆，公务用车保有量2辆。国有资产占用情况中固定资产车辆2辆，与公务用车保有量差异原因是：本单位固定资产车辆与公务用车保有量一致无差异。</w:t>
      </w:r>
    </w:p>
    <w:p w14:paraId="27BC8E6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C918FB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4.96万元，决算数4.96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4.96万元，决算数4.96万元，预决算差异率0.00%，主要原因是：严格按照预算执行，预决算无差异。公务接待费全年预算数0.00万元，决算数0.00万元，预决算差异率0.00%，主要原因是：本单位无公务接待费。</w:t>
      </w:r>
    </w:p>
    <w:p w14:paraId="4055DF68">
      <w:pPr>
        <w:spacing w:line="640" w:lineRule="exact"/>
        <w:ind w:firstLine="640"/>
        <w:jc w:val="both"/>
        <w:outlineLvl w:val="2"/>
      </w:pPr>
      <w:r>
        <w:rPr>
          <w:rFonts w:ascii="黑体" w:hAnsi="黑体" w:eastAsia="黑体"/>
          <w:sz w:val="32"/>
        </w:rPr>
        <w:t>十、其他重要事项的情况说明</w:t>
      </w:r>
    </w:p>
    <w:p w14:paraId="69B239DD">
      <w:pPr>
        <w:spacing w:line="640" w:lineRule="exact"/>
        <w:ind w:firstLine="640"/>
        <w:jc w:val="both"/>
        <w:outlineLvl w:val="3"/>
      </w:pPr>
      <w:r>
        <w:rPr>
          <w:rFonts w:ascii="楷体_GB2312" w:hAnsi="楷体_GB2312" w:eastAsia="楷体_GB2312"/>
          <w:b/>
          <w:sz w:val="32"/>
        </w:rPr>
        <w:t>（一）机关运行经费及公用经费支出情况</w:t>
      </w:r>
    </w:p>
    <w:p w14:paraId="19021F0F">
      <w:pPr>
        <w:spacing w:line="580" w:lineRule="exact"/>
        <w:ind w:firstLine="640"/>
        <w:jc w:val="both"/>
      </w:pPr>
      <w:r>
        <w:rPr>
          <w:rFonts w:ascii="仿宋_GB2312" w:hAnsi="仿宋_GB2312" w:eastAsia="仿宋_GB2312"/>
          <w:b w:val="0"/>
          <w:sz w:val="32"/>
        </w:rPr>
        <w:t>2024年度岳普湖县乡村振兴局（行政单位和参照公务员法管理事业单位）机关运行经费支出13.61万元，比上年减少0.18万元，下降1.31%，主要原因是：严控经费支出，厉行节约，减少经费支出。</w:t>
      </w:r>
    </w:p>
    <w:p w14:paraId="72CFC474">
      <w:pPr>
        <w:spacing w:line="640" w:lineRule="exact"/>
        <w:ind w:firstLine="640"/>
        <w:jc w:val="both"/>
        <w:outlineLvl w:val="3"/>
      </w:pPr>
      <w:r>
        <w:rPr>
          <w:rFonts w:ascii="楷体_GB2312" w:hAnsi="楷体_GB2312" w:eastAsia="楷体_GB2312"/>
          <w:b/>
          <w:sz w:val="32"/>
        </w:rPr>
        <w:t>（二）政府采购情况</w:t>
      </w:r>
    </w:p>
    <w:p w14:paraId="7D56B27F">
      <w:pPr>
        <w:spacing w:line="580" w:lineRule="exact"/>
        <w:ind w:firstLine="640"/>
        <w:jc w:val="both"/>
      </w:pPr>
      <w:r>
        <w:rPr>
          <w:rFonts w:ascii="仿宋_GB2312" w:hAnsi="仿宋_GB2312" w:eastAsia="仿宋_GB2312"/>
          <w:b w:val="0"/>
          <w:sz w:val="32"/>
        </w:rPr>
        <w:t>2024年度政府采购支出总额3.14万元，其中：政府采购货物支出0.23万元、政府采购工程支出0.00万元、政府采购服务支出2.92万元。</w:t>
      </w:r>
    </w:p>
    <w:p w14:paraId="7447CA7A">
      <w:pPr>
        <w:spacing w:line="580" w:lineRule="exact"/>
        <w:ind w:firstLine="640"/>
        <w:jc w:val="both"/>
      </w:pPr>
      <w:r>
        <w:rPr>
          <w:rFonts w:ascii="仿宋_GB2312" w:hAnsi="仿宋_GB2312" w:eastAsia="仿宋_GB2312"/>
          <w:b w:val="0"/>
          <w:sz w:val="32"/>
        </w:rPr>
        <w:t>授予中小企业合同金额3.14万元，占政府采购支出总额的100.00%，其中：授予小微企业合同金额3.14万元，占政府采购支出总额的100.00%。</w:t>
      </w:r>
    </w:p>
    <w:p w14:paraId="1A594E73">
      <w:pPr>
        <w:spacing w:line="640" w:lineRule="exact"/>
        <w:ind w:firstLine="640"/>
        <w:jc w:val="both"/>
        <w:outlineLvl w:val="3"/>
      </w:pPr>
      <w:r>
        <w:rPr>
          <w:rFonts w:ascii="楷体_GB2312" w:hAnsi="楷体_GB2312" w:eastAsia="楷体_GB2312"/>
          <w:b/>
          <w:sz w:val="32"/>
        </w:rPr>
        <w:t>（三）国有资产占用情况说明</w:t>
      </w:r>
    </w:p>
    <w:p w14:paraId="1B8656B4">
      <w:pPr>
        <w:spacing w:line="580" w:lineRule="exact"/>
        <w:ind w:firstLine="640"/>
        <w:jc w:val="both"/>
      </w:pPr>
      <w:r>
        <w:rPr>
          <w:rFonts w:ascii="仿宋_GB2312" w:hAnsi="仿宋_GB2312" w:eastAsia="仿宋_GB2312"/>
          <w:b w:val="0"/>
          <w:sz w:val="32"/>
        </w:rPr>
        <w:t>截至2024年12月31日，房屋0.00平方米，价值0.00万元。车辆2辆，价值32.60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14:paraId="514A2E51">
      <w:pPr>
        <w:spacing w:line="640" w:lineRule="exact"/>
        <w:ind w:firstLine="640"/>
        <w:jc w:val="both"/>
        <w:outlineLvl w:val="2"/>
      </w:pPr>
      <w:r>
        <w:rPr>
          <w:rFonts w:ascii="黑体" w:hAnsi="黑体" w:eastAsia="黑体"/>
          <w:sz w:val="32"/>
        </w:rPr>
        <w:t>十一、预算绩效的情况说明</w:t>
      </w:r>
    </w:p>
    <w:p w14:paraId="7DCDFFFE">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1,960.28万元，实际执行总额1,960.28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无项目绩效自评表。发现的问题及原因：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无项目绩效自评表。下一步改进措施：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无项目绩效自评表。具体附整体支出绩效自评表。</w:t>
      </w:r>
    </w:p>
    <w:p w14:paraId="5C53C34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F640652">
        <w:tc>
          <w:tcPr>
            <w:tcW w:w="8847" w:type="dxa"/>
            <w:gridSpan w:val="9"/>
            <w:vAlign w:val="center"/>
          </w:tcPr>
          <w:p w14:paraId="7E0B5977">
            <w:pPr>
              <w:jc w:val="center"/>
            </w:pPr>
            <w:r>
              <w:rPr>
                <w:rFonts w:ascii="宋体" w:hAnsi="宋体" w:eastAsia="宋体"/>
                <w:sz w:val="24"/>
              </w:rPr>
              <w:t>单位整体支出绩效自评表</w:t>
            </w:r>
          </w:p>
        </w:tc>
      </w:tr>
      <w:tr w14:paraId="40A144FD">
        <w:tblPrEx>
          <w:tblCellMar>
            <w:top w:w="0" w:type="dxa"/>
            <w:left w:w="108" w:type="dxa"/>
            <w:bottom w:w="0" w:type="dxa"/>
            <w:right w:w="108" w:type="dxa"/>
          </w:tblCellMar>
        </w:tblPrEx>
        <w:tc>
          <w:tcPr>
            <w:tcW w:w="8847" w:type="dxa"/>
            <w:gridSpan w:val="9"/>
            <w:vAlign w:val="center"/>
          </w:tcPr>
          <w:p w14:paraId="0E3F6668">
            <w:pPr>
              <w:jc w:val="center"/>
            </w:pPr>
            <w:r>
              <w:rPr>
                <w:rFonts w:ascii="宋体" w:hAnsi="宋体" w:eastAsia="宋体"/>
                <w:sz w:val="24"/>
              </w:rPr>
              <w:t>（2024年度）</w:t>
            </w:r>
          </w:p>
        </w:tc>
      </w:tr>
      <w:tr w14:paraId="7B455F0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58C2EF">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2C9AC0D">
            <w:pPr>
              <w:jc w:val="center"/>
            </w:pPr>
            <w:r>
              <w:rPr>
                <w:rFonts w:ascii="宋体" w:hAnsi="宋体" w:eastAsia="宋体"/>
                <w:sz w:val="16"/>
              </w:rPr>
              <w:t>岳普湖县乡村振兴局</w:t>
            </w:r>
          </w:p>
        </w:tc>
      </w:tr>
      <w:tr w14:paraId="798E9FF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196B59">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12ECB2">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D8D1D0">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EC327F">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F38743">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3C7E7B">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D64550">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E33FE">
            <w:pPr>
              <w:jc w:val="center"/>
            </w:pPr>
            <w:r>
              <w:rPr>
                <w:rFonts w:ascii="宋体" w:hAnsi="宋体" w:eastAsia="宋体"/>
                <w:sz w:val="16"/>
              </w:rPr>
              <w:t>得分</w:t>
            </w:r>
          </w:p>
        </w:tc>
      </w:tr>
      <w:tr w14:paraId="6C05A15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42FC3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A29C4E">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34A7A9">
            <w:pPr>
              <w:jc w:val="center"/>
            </w:pPr>
            <w:r>
              <w:rPr>
                <w:rFonts w:ascii="宋体" w:hAnsi="宋体" w:eastAsia="宋体"/>
                <w:sz w:val="16"/>
              </w:rPr>
              <w:t>26,598.56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A0D88C">
            <w:pPr>
              <w:jc w:val="center"/>
            </w:pPr>
            <w:r>
              <w:rPr>
                <w:rFonts w:ascii="宋体" w:hAnsi="宋体" w:eastAsia="宋体"/>
                <w:sz w:val="16"/>
              </w:rPr>
              <w:t>1,960.28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0B029E">
            <w:pPr>
              <w:jc w:val="center"/>
            </w:pPr>
            <w:r>
              <w:rPr>
                <w:rFonts w:ascii="宋体" w:hAnsi="宋体" w:eastAsia="宋体"/>
                <w:sz w:val="16"/>
              </w:rPr>
              <w:t>1,960.28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09FA0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714327">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D2894">
            <w:pPr>
              <w:jc w:val="center"/>
            </w:pPr>
            <w:r>
              <w:rPr>
                <w:rFonts w:ascii="宋体" w:hAnsi="宋体" w:eastAsia="宋体"/>
                <w:sz w:val="16"/>
              </w:rPr>
              <w:t>10</w:t>
            </w:r>
          </w:p>
        </w:tc>
      </w:tr>
      <w:tr w14:paraId="19F63DF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52DF6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EBBFDF">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E5F274">
            <w:pPr>
              <w:jc w:val="center"/>
            </w:pPr>
            <w:r>
              <w:rPr>
                <w:rFonts w:ascii="宋体" w:hAnsi="宋体" w:eastAsia="宋体"/>
                <w:sz w:val="16"/>
              </w:rPr>
              <w:t>26,062.19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F0B2DA">
            <w:pPr>
              <w:jc w:val="center"/>
            </w:pPr>
            <w:r>
              <w:rPr>
                <w:rFonts w:ascii="宋体" w:hAnsi="宋体" w:eastAsia="宋体"/>
                <w:sz w:val="16"/>
              </w:rPr>
              <w:t>1,502.77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FB2875">
            <w:pPr>
              <w:jc w:val="center"/>
            </w:pPr>
            <w:r>
              <w:rPr>
                <w:rFonts w:ascii="宋体" w:hAnsi="宋体" w:eastAsia="宋体"/>
                <w:sz w:val="16"/>
              </w:rPr>
              <w:t>1,502.77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AAAD1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A0E4F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DD4E4">
            <w:pPr>
              <w:jc w:val="center"/>
            </w:pPr>
            <w:r>
              <w:rPr>
                <w:rFonts w:ascii="宋体" w:hAnsi="宋体" w:eastAsia="宋体"/>
                <w:sz w:val="16"/>
              </w:rPr>
              <w:t>—</w:t>
            </w:r>
          </w:p>
        </w:tc>
      </w:tr>
      <w:tr w14:paraId="58EC81F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13B89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952CFF">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B0F2CD">
            <w:pPr>
              <w:jc w:val="center"/>
            </w:pPr>
            <w:r>
              <w:rPr>
                <w:rFonts w:ascii="宋体" w:hAnsi="宋体" w:eastAsia="宋体"/>
                <w:sz w:val="16"/>
              </w:rPr>
              <w:t>536.37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3E068C">
            <w:pPr>
              <w:jc w:val="center"/>
            </w:pPr>
            <w:r>
              <w:rPr>
                <w:rFonts w:ascii="宋体" w:hAnsi="宋体" w:eastAsia="宋体"/>
                <w:sz w:val="16"/>
              </w:rPr>
              <w:t>457.51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B3AFD3">
            <w:pPr>
              <w:jc w:val="center"/>
            </w:pPr>
            <w:r>
              <w:rPr>
                <w:rFonts w:ascii="宋体" w:hAnsi="宋体" w:eastAsia="宋体"/>
                <w:sz w:val="16"/>
              </w:rPr>
              <w:t>457.51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04780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EA407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E2E22">
            <w:pPr>
              <w:jc w:val="center"/>
            </w:pPr>
            <w:r>
              <w:rPr>
                <w:rFonts w:ascii="宋体" w:hAnsi="宋体" w:eastAsia="宋体"/>
                <w:sz w:val="16"/>
              </w:rPr>
              <w:t>—</w:t>
            </w:r>
          </w:p>
        </w:tc>
      </w:tr>
      <w:tr w14:paraId="49298D7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74076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CE82C5">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5ED04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12F4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F8C7E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42E78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BFF215">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BC453">
            <w:pPr>
              <w:jc w:val="center"/>
            </w:pPr>
            <w:r>
              <w:rPr>
                <w:rFonts w:ascii="宋体" w:hAnsi="宋体" w:eastAsia="宋体"/>
                <w:sz w:val="16"/>
              </w:rPr>
              <w:t>—</w:t>
            </w:r>
          </w:p>
        </w:tc>
      </w:tr>
      <w:tr w14:paraId="37EA094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E2F558">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64FBC9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F18C03">
            <w:pPr>
              <w:jc w:val="center"/>
            </w:pPr>
            <w:r>
              <w:rPr>
                <w:rFonts w:ascii="宋体" w:hAnsi="宋体" w:eastAsia="宋体"/>
                <w:sz w:val="16"/>
              </w:rPr>
              <w:t>实际完成情况</w:t>
            </w:r>
          </w:p>
        </w:tc>
      </w:tr>
      <w:tr w14:paraId="563EF67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118B02"/>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BD4EBA4">
            <w:pPr>
              <w:jc w:val="both"/>
            </w:pPr>
            <w:r>
              <w:rPr>
                <w:rFonts w:ascii="宋体" w:hAnsi="宋体" w:eastAsia="宋体"/>
                <w:sz w:val="16"/>
              </w:rPr>
              <w:t>乡村振兴防返贫监测期数12期，乡村振兴政策宣讲培训期数24期，定期与行业部门进行信息数据比对交换；完成各类户厕整改销号4200座。解决脱贫户生产生活困难，落实帮扶责任，健全完善防止返贫监测预警机制，守住不发生规模性返贫底线；强化政策保障，培育壮大特色产业，通过产业融合发展促进乡村振兴。</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E44DB70">
            <w:pPr>
              <w:jc w:val="both"/>
            </w:pPr>
            <w:r>
              <w:rPr>
                <w:rFonts w:ascii="宋体" w:hAnsi="宋体" w:eastAsia="宋体"/>
                <w:sz w:val="16"/>
              </w:rPr>
              <w:t>岳普湖县乡村振兴防返贫监测全年完成12期，乡村振兴政策宣讲培训全年按期完成了24期，做到了定期与行业部门进行信息数据比对交换；各类户厕整改销号达到了4200座，各类户厕整改销号任务按期完成。解决了脱贫户生产生活困难，进一步落实了帮扶责任，健全完善了防止返贫监测预警机制，</w:t>
            </w:r>
            <w:r>
              <w:rPr>
                <w:rFonts w:hint="eastAsia" w:ascii="宋体" w:hAnsi="宋体"/>
                <w:sz w:val="16"/>
                <w:lang w:eastAsia="zh-CN"/>
              </w:rPr>
              <w:t>守住不发生规模性返贫底线</w:t>
            </w:r>
            <w:r>
              <w:rPr>
                <w:rFonts w:ascii="宋体" w:hAnsi="宋体" w:eastAsia="宋体"/>
                <w:sz w:val="16"/>
              </w:rPr>
              <w:t>；强化了政策保障，培育壮大了特色产业，通过产业融合发展促进了岳普湖县乡村振兴。</w:t>
            </w:r>
          </w:p>
        </w:tc>
      </w:tr>
      <w:tr w14:paraId="261B28E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A4AFF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9575E6">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43BD6C">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FF8F44">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514E59">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3BDCE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169B6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1DA75D">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DA1758">
            <w:pPr>
              <w:jc w:val="center"/>
            </w:pPr>
            <w:r>
              <w:rPr>
                <w:rFonts w:ascii="宋体" w:hAnsi="宋体" w:eastAsia="宋体"/>
                <w:sz w:val="16"/>
              </w:rPr>
              <w:t>得分</w:t>
            </w:r>
          </w:p>
        </w:tc>
      </w:tr>
      <w:tr w14:paraId="1ED0033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8711E9">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FC8349">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5706EA">
            <w:pPr>
              <w:jc w:val="center"/>
            </w:pPr>
            <w:r>
              <w:rPr>
                <w:rFonts w:ascii="宋体" w:hAnsi="宋体" w:eastAsia="宋体"/>
                <w:sz w:val="16"/>
              </w:rPr>
              <w:t>乡村振兴防返贫监测期数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CFDAC4">
            <w:pPr>
              <w:jc w:val="center"/>
            </w:pPr>
            <w:r>
              <w:rPr>
                <w:rFonts w:ascii="宋体" w:hAnsi="宋体" w:eastAsia="宋体"/>
                <w:sz w:val="16"/>
              </w:rPr>
              <w:t>&gt;=12期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E3E8BC">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BEE9C5">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C4808">
            <w:pPr>
              <w:jc w:val="center"/>
            </w:pPr>
            <w:r>
              <w:rPr>
                <w:rFonts w:ascii="宋体" w:hAnsi="宋体" w:eastAsia="宋体"/>
                <w:sz w:val="16"/>
              </w:rPr>
              <w:t>12期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6183A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B47D67">
            <w:pPr>
              <w:jc w:val="center"/>
            </w:pPr>
            <w:r>
              <w:rPr>
                <w:rFonts w:ascii="宋体" w:hAnsi="宋体" w:eastAsia="宋体"/>
                <w:sz w:val="16"/>
              </w:rPr>
              <w:t>18</w:t>
            </w:r>
          </w:p>
        </w:tc>
      </w:tr>
      <w:tr w14:paraId="17C2A6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80C9B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A85F2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8B7B8A">
            <w:pPr>
              <w:jc w:val="center"/>
            </w:pPr>
            <w:r>
              <w:rPr>
                <w:rFonts w:ascii="宋体" w:hAnsi="宋体" w:eastAsia="宋体"/>
                <w:sz w:val="16"/>
              </w:rPr>
              <w:t>乡村振兴政策宣讲培训期数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452D76">
            <w:pPr>
              <w:jc w:val="center"/>
            </w:pPr>
            <w:r>
              <w:rPr>
                <w:rFonts w:ascii="宋体" w:hAnsi="宋体" w:eastAsia="宋体"/>
                <w:sz w:val="16"/>
              </w:rPr>
              <w:t>&gt;=24期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FDF6E8">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977AB7">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DD415E">
            <w:pPr>
              <w:jc w:val="center"/>
            </w:pPr>
            <w:r>
              <w:rPr>
                <w:rFonts w:ascii="宋体" w:hAnsi="宋体" w:eastAsia="宋体"/>
                <w:sz w:val="16"/>
              </w:rPr>
              <w:t>24期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3BFA2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54FB81">
            <w:pPr>
              <w:jc w:val="center"/>
            </w:pPr>
            <w:r>
              <w:rPr>
                <w:rFonts w:ascii="宋体" w:hAnsi="宋体" w:eastAsia="宋体"/>
                <w:sz w:val="16"/>
              </w:rPr>
              <w:t>18</w:t>
            </w:r>
          </w:p>
        </w:tc>
      </w:tr>
      <w:tr w14:paraId="27E872B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A36D0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F8BE3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8DA1BE">
            <w:pPr>
              <w:jc w:val="center"/>
            </w:pPr>
            <w:r>
              <w:rPr>
                <w:rFonts w:ascii="宋体" w:hAnsi="宋体" w:eastAsia="宋体"/>
                <w:sz w:val="16"/>
              </w:rPr>
              <w:t>各类户厕整改销号数量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878325">
            <w:pPr>
              <w:jc w:val="center"/>
            </w:pPr>
            <w:r>
              <w:rPr>
                <w:rFonts w:ascii="宋体" w:hAnsi="宋体" w:eastAsia="宋体"/>
                <w:sz w:val="16"/>
              </w:rPr>
              <w:t>&gt;=4200座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1F71A">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FA08BC">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BA7D5A">
            <w:pPr>
              <w:jc w:val="center"/>
            </w:pPr>
            <w:r>
              <w:rPr>
                <w:rFonts w:ascii="宋体" w:hAnsi="宋体" w:eastAsia="宋体"/>
                <w:sz w:val="16"/>
              </w:rPr>
              <w:t>4200座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0FE1B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1F83D7">
            <w:pPr>
              <w:jc w:val="center"/>
            </w:pPr>
            <w:r>
              <w:rPr>
                <w:rFonts w:ascii="宋体" w:hAnsi="宋体" w:eastAsia="宋体"/>
                <w:sz w:val="16"/>
              </w:rPr>
              <w:t>18</w:t>
            </w:r>
          </w:p>
        </w:tc>
      </w:tr>
      <w:tr w14:paraId="3DEF67B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540E6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2D657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E3F361">
            <w:pPr>
              <w:jc w:val="center"/>
            </w:pPr>
            <w:r>
              <w:rPr>
                <w:rFonts w:ascii="宋体" w:hAnsi="宋体" w:eastAsia="宋体"/>
                <w:sz w:val="16"/>
              </w:rPr>
              <w:t>各类户厕整改销号任务完成率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17974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7BF526">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E5EF68">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989A2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B051A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A2C8C">
            <w:pPr>
              <w:jc w:val="center"/>
            </w:pPr>
            <w:r>
              <w:rPr>
                <w:rFonts w:ascii="宋体" w:hAnsi="宋体" w:eastAsia="宋体"/>
                <w:sz w:val="16"/>
              </w:rPr>
              <w:t>18</w:t>
            </w:r>
          </w:p>
        </w:tc>
      </w:tr>
      <w:tr w14:paraId="6B5D7C8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5B331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700643">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BD0A4F">
            <w:pPr>
              <w:jc w:val="center"/>
            </w:pPr>
            <w:r>
              <w:rPr>
                <w:rFonts w:ascii="宋体" w:hAnsi="宋体" w:eastAsia="宋体"/>
                <w:sz w:val="16"/>
              </w:rPr>
              <w:t>乡村振兴政策宣讲培训完成及时率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C4DB4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D2CD2F">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23E70C">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C552B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23F80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69972D">
            <w:pPr>
              <w:jc w:val="center"/>
            </w:pPr>
            <w:r>
              <w:rPr>
                <w:rFonts w:ascii="宋体" w:hAnsi="宋体" w:eastAsia="宋体"/>
                <w:sz w:val="16"/>
              </w:rPr>
              <w:t>18</w:t>
            </w:r>
          </w:p>
        </w:tc>
      </w:tr>
    </w:tbl>
    <w:p w14:paraId="18AC4CF8">
      <w:r>
        <w:br w:type="page"/>
      </w:r>
    </w:p>
    <w:p w14:paraId="4B593307">
      <w:pPr>
        <w:spacing w:line="640" w:lineRule="exact"/>
        <w:ind w:firstLine="640"/>
        <w:jc w:val="both"/>
        <w:outlineLvl w:val="2"/>
      </w:pPr>
      <w:r>
        <w:rPr>
          <w:rFonts w:ascii="黑体" w:hAnsi="黑体" w:eastAsia="黑体"/>
          <w:sz w:val="32"/>
        </w:rPr>
        <w:t>十二、其他需说明的事项</w:t>
      </w:r>
    </w:p>
    <w:p w14:paraId="159F9C65">
      <w:pPr>
        <w:spacing w:line="580" w:lineRule="exact"/>
        <w:ind w:firstLine="640"/>
        <w:jc w:val="both"/>
      </w:pPr>
      <w:r>
        <w:rPr>
          <w:rFonts w:ascii="仿宋_GB2312" w:hAnsi="仿宋_GB2312" w:eastAsia="仿宋_GB2312"/>
          <w:b w:val="0"/>
          <w:sz w:val="32"/>
        </w:rPr>
        <w:t>本单位无其他需说明的事项。</w:t>
      </w:r>
    </w:p>
    <w:p w14:paraId="127D0193">
      <w:r>
        <w:br w:type="page"/>
      </w:r>
    </w:p>
    <w:p w14:paraId="77AAF56E">
      <w:pPr>
        <w:spacing w:line="240" w:lineRule="auto"/>
        <w:jc w:val="center"/>
        <w:outlineLvl w:val="1"/>
      </w:pPr>
      <w:r>
        <w:rPr>
          <w:rFonts w:ascii="黑体" w:hAnsi="黑体" w:eastAsia="黑体"/>
          <w:sz w:val="32"/>
        </w:rPr>
        <w:t>第三部分 专业名词解释</w:t>
      </w:r>
    </w:p>
    <w:p w14:paraId="60FBE88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C4D117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3417A3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15604D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314104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14B5214">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89058F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C10C06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E437DE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A411BF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A2AC1E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52E5DB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CD6087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DB39E5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89EE0DA">
      <w:r>
        <w:br w:type="page"/>
      </w:r>
    </w:p>
    <w:p w14:paraId="0F580628">
      <w:pPr>
        <w:spacing w:line="240" w:lineRule="auto"/>
        <w:jc w:val="center"/>
        <w:outlineLvl w:val="1"/>
      </w:pPr>
      <w:r>
        <w:rPr>
          <w:rFonts w:ascii="黑体" w:hAnsi="黑体" w:eastAsia="黑体"/>
          <w:sz w:val="32"/>
        </w:rPr>
        <w:t>第四部分 部门决算报表（见附表）</w:t>
      </w:r>
    </w:p>
    <w:p w14:paraId="1F99A41D">
      <w:pPr>
        <w:spacing w:line="240" w:lineRule="auto"/>
        <w:ind w:firstLine="640"/>
        <w:jc w:val="both"/>
      </w:pPr>
      <w:r>
        <w:rPr>
          <w:rFonts w:ascii="仿宋_GB2312" w:hAnsi="仿宋_GB2312" w:eastAsia="仿宋_GB2312"/>
          <w:b w:val="0"/>
          <w:sz w:val="32"/>
        </w:rPr>
        <w:t>一、《收入支出决算总表》</w:t>
      </w:r>
    </w:p>
    <w:p w14:paraId="50A1F763">
      <w:pPr>
        <w:spacing w:line="240" w:lineRule="auto"/>
        <w:ind w:firstLine="640"/>
        <w:jc w:val="both"/>
      </w:pPr>
      <w:r>
        <w:rPr>
          <w:rFonts w:ascii="仿宋_GB2312" w:hAnsi="仿宋_GB2312" w:eastAsia="仿宋_GB2312"/>
          <w:b w:val="0"/>
          <w:sz w:val="32"/>
        </w:rPr>
        <w:t>二、《收入决算表》</w:t>
      </w:r>
    </w:p>
    <w:p w14:paraId="25229A7C">
      <w:pPr>
        <w:spacing w:line="240" w:lineRule="auto"/>
        <w:ind w:firstLine="640"/>
        <w:jc w:val="both"/>
      </w:pPr>
      <w:r>
        <w:rPr>
          <w:rFonts w:ascii="仿宋_GB2312" w:hAnsi="仿宋_GB2312" w:eastAsia="仿宋_GB2312"/>
          <w:b w:val="0"/>
          <w:sz w:val="32"/>
        </w:rPr>
        <w:t>三、《支出决算表》</w:t>
      </w:r>
    </w:p>
    <w:p w14:paraId="29A1E925">
      <w:pPr>
        <w:spacing w:line="240" w:lineRule="auto"/>
        <w:ind w:firstLine="640"/>
        <w:jc w:val="both"/>
      </w:pPr>
      <w:r>
        <w:rPr>
          <w:rFonts w:ascii="仿宋_GB2312" w:hAnsi="仿宋_GB2312" w:eastAsia="仿宋_GB2312"/>
          <w:b w:val="0"/>
          <w:sz w:val="32"/>
        </w:rPr>
        <w:t>四、《财政拨款收入支出决算总表》</w:t>
      </w:r>
    </w:p>
    <w:p w14:paraId="4A43ADF5">
      <w:pPr>
        <w:spacing w:line="240" w:lineRule="auto"/>
        <w:ind w:firstLine="640"/>
        <w:jc w:val="both"/>
      </w:pPr>
      <w:r>
        <w:rPr>
          <w:rFonts w:ascii="仿宋_GB2312" w:hAnsi="仿宋_GB2312" w:eastAsia="仿宋_GB2312"/>
          <w:b w:val="0"/>
          <w:sz w:val="32"/>
        </w:rPr>
        <w:t>五、《一般公共预算财政拨款支出决算表》</w:t>
      </w:r>
    </w:p>
    <w:p w14:paraId="68093D87">
      <w:pPr>
        <w:spacing w:line="240" w:lineRule="auto"/>
        <w:ind w:firstLine="640"/>
        <w:jc w:val="both"/>
      </w:pPr>
      <w:r>
        <w:rPr>
          <w:rFonts w:ascii="仿宋_GB2312" w:hAnsi="仿宋_GB2312" w:eastAsia="仿宋_GB2312"/>
          <w:b w:val="0"/>
          <w:sz w:val="32"/>
        </w:rPr>
        <w:t>六、《一般公共预算财政拨款基本支出决算表》</w:t>
      </w:r>
    </w:p>
    <w:p w14:paraId="58679C64">
      <w:pPr>
        <w:spacing w:line="240" w:lineRule="auto"/>
        <w:ind w:firstLine="640"/>
        <w:jc w:val="both"/>
      </w:pPr>
      <w:r>
        <w:rPr>
          <w:rFonts w:ascii="仿宋_GB2312" w:hAnsi="仿宋_GB2312" w:eastAsia="仿宋_GB2312"/>
          <w:b w:val="0"/>
          <w:sz w:val="32"/>
        </w:rPr>
        <w:t>七、《政府性基金预算财政拨款收入支出决算表》</w:t>
      </w:r>
    </w:p>
    <w:p w14:paraId="776EE14B">
      <w:pPr>
        <w:spacing w:line="240" w:lineRule="auto"/>
        <w:ind w:firstLine="640"/>
        <w:jc w:val="both"/>
      </w:pPr>
      <w:r>
        <w:rPr>
          <w:rFonts w:ascii="仿宋_GB2312" w:hAnsi="仿宋_GB2312" w:eastAsia="仿宋_GB2312"/>
          <w:b w:val="0"/>
          <w:sz w:val="32"/>
        </w:rPr>
        <w:t>八、《国有资本经营预算财政拨款收入支出决算表》</w:t>
      </w:r>
    </w:p>
    <w:p w14:paraId="45E7FF10">
      <w:pPr>
        <w:spacing w:line="240" w:lineRule="auto"/>
        <w:ind w:firstLine="640"/>
        <w:jc w:val="both"/>
      </w:pPr>
      <w:r>
        <w:rPr>
          <w:rFonts w:ascii="仿宋_GB2312" w:hAnsi="仿宋_GB2312" w:eastAsia="仿宋_GB2312"/>
          <w:b w:val="0"/>
          <w:sz w:val="32"/>
        </w:rPr>
        <w:t>九、《财政拨款“三公”经费支出决算表》</w:t>
      </w:r>
    </w:p>
    <w:p w14:paraId="6563F84E">
      <w:pPr>
        <w:spacing w:line="240" w:lineRule="auto"/>
        <w:ind w:firstLine="640"/>
        <w:jc w:val="both"/>
      </w:pPr>
    </w:p>
    <w:p w14:paraId="11E83C33">
      <w:pPr>
        <w:spacing w:line="240" w:lineRule="auto"/>
        <w:ind w:firstLine="640"/>
        <w:jc w:val="both"/>
      </w:pPr>
    </w:p>
    <w:p w14:paraId="59946359">
      <w:pPr>
        <w:spacing w:line="240" w:lineRule="auto"/>
        <w:ind w:firstLine="640"/>
        <w:jc w:val="both"/>
      </w:pPr>
    </w:p>
    <w:p w14:paraId="4F4F4B7A">
      <w:pPr>
        <w:spacing w:line="240" w:lineRule="auto"/>
        <w:ind w:firstLine="640"/>
        <w:jc w:val="both"/>
      </w:pPr>
    </w:p>
    <w:p w14:paraId="6E7A588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41C3B2E-70FF-43EA-840C-0B11E2DAB26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1CB3631E-BC0D-4FD5-8E14-A3588397BA5E}"/>
  </w:font>
  <w:font w:name="仿宋_GB2312">
    <w:panose1 w:val="02010609030101010101"/>
    <w:charset w:val="86"/>
    <w:family w:val="modern"/>
    <w:pitch w:val="default"/>
    <w:sig w:usb0="00000001" w:usb1="080E0000" w:usb2="00000000" w:usb3="00000000" w:csb0="00040000" w:csb1="00000000"/>
    <w:embedRegular r:id="rId3" w:fontKey="{AC442789-BB58-46E9-A69D-F71A37CEAAA3}"/>
  </w:font>
  <w:font w:name="楷体_GB2312">
    <w:panose1 w:val="02010609030101010101"/>
    <w:charset w:val="86"/>
    <w:family w:val="auto"/>
    <w:pitch w:val="default"/>
    <w:sig w:usb0="00000001" w:usb1="080E0000" w:usb2="00000000" w:usb3="00000000" w:csb0="00040000" w:csb1="00000000"/>
    <w:embedRegular r:id="rId4" w:fontKey="{FF0D2F6B-4451-48C5-A6D5-599AB7F4FA8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70768E1"/>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CE478A8"/>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6002</Words>
  <Characters>6872</Characters>
  <Lines>0</Lines>
  <Paragraphs>0</Paragraphs>
  <TotalTime>1</TotalTime>
  <ScaleCrop>false</ScaleCrop>
  <LinksUpToDate>false</LinksUpToDate>
  <CharactersWithSpaces>6886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2025-09-12T10:43:31Z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