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8734B7">
      <w:r>
        <w:br w:type="page"/>
      </w:r>
    </w:p>
    <w:p w14:paraId="6A2F5F41">
      <w:pPr>
        <w:spacing w:line="640" w:lineRule="exact"/>
        <w:jc w:val="center"/>
        <w:outlineLvl w:val="1"/>
      </w:pPr>
      <w:r>
        <w:rPr>
          <w:rFonts w:ascii="黑体" w:hAnsi="黑体" w:eastAsia="黑体"/>
          <w:sz w:val="32"/>
        </w:rPr>
        <w:t>第一部分 单位概况</w:t>
      </w:r>
    </w:p>
    <w:p w14:paraId="2A6B0DA1">
      <w:pPr>
        <w:spacing w:line="640" w:lineRule="exact"/>
        <w:ind w:firstLine="640"/>
        <w:jc w:val="both"/>
        <w:outlineLvl w:val="2"/>
      </w:pPr>
      <w:r>
        <w:rPr>
          <w:rFonts w:ascii="黑体" w:hAnsi="黑体" w:eastAsia="黑体"/>
          <w:sz w:val="32"/>
        </w:rPr>
        <w:t>一、主要职能</w:t>
      </w:r>
    </w:p>
    <w:p w14:paraId="6B48644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贯彻预算国家、自治区和地区关于建设事业的方针、政策和法律、法规、拟定全县建设事业发展战略和中长期规划、年度计划并组织实施、负责对全县建设事业及相关市场的综合管理。</w:t>
      </w:r>
    </w:p>
    <w:p w14:paraId="33F8CBD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管理全县建筑业活动、培育和规范建筑市场；指导监督建筑市场准入、对全县工程建设项目的招投标实施监督和管理；负责全县建筑安装的行业管理、监督检查工程监理、工程质量和施工安全。</w:t>
      </w:r>
    </w:p>
    <w:p w14:paraId="29D04F5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指导和管理全县城市规划工作、参与制定全县国土规划和区域规划、指导和管理城市勘察和城市测量工作、管理城市建设档案工作、指导和管理全县村镇的规划、建设工作、指导村镇综合开发和社会化服务工作、推进村镇建设发展。</w:t>
      </w:r>
    </w:p>
    <w:p w14:paraId="04B20C2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指导和管理全县城市供排水、燃气、热力、市政设施、道路、路灯、园林绿化、市容和环境卫生工作；指导城市环境综合治理、做好生态环境保</w:t>
      </w:r>
      <w:r>
        <w:rPr>
          <w:rFonts w:hint="eastAsia" w:ascii="仿宋_GB2312" w:hAnsi="仿宋_GB2312" w:eastAsia="仿宋_GB2312"/>
          <w:sz w:val="32"/>
          <w:lang w:eastAsia="zh-CN"/>
        </w:rPr>
        <w:t>护和</w:t>
      </w:r>
      <w:r>
        <w:rPr>
          <w:rFonts w:ascii="仿宋_GB2312" w:hAnsi="仿宋_GB2312" w:eastAsia="仿宋_GB2312"/>
          <w:sz w:val="32"/>
        </w:rPr>
        <w:t>可持续发展战略、城建监察工作。</w:t>
      </w:r>
    </w:p>
    <w:p w14:paraId="2BA64D1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贯彻实施国家、自治区、地区建筑行业政策、发展规划和有关法规、推进建筑业的改革和发展；指导和管理建设行业的对外经济技术合作；引导县内企业开拓区内外建筑市场和房地产市场、指导协调建设企业对外工程承包和建筑劳务合作。</w:t>
      </w:r>
    </w:p>
    <w:p w14:paraId="2B03E6D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管理全县住宅建设和县城住房制度改革工作；负责全县住宅和房地产业的行业管理；指导城镇土地使用权有偿转让和开发利用；指导和推进城镇住宅建设；承担保障城镇低收入家庭</w:t>
      </w:r>
      <w:r>
        <w:rPr>
          <w:rFonts w:hint="eastAsia" w:ascii="仿宋_GB2312" w:hAnsi="仿宋_GB2312" w:eastAsia="仿宋_GB2312"/>
          <w:sz w:val="32"/>
          <w:lang w:eastAsia="zh-CN"/>
        </w:rPr>
        <w:t>住房</w:t>
      </w:r>
      <w:r>
        <w:rPr>
          <w:rFonts w:ascii="仿宋_GB2312" w:hAnsi="仿宋_GB2312" w:eastAsia="仿宋_GB2312"/>
          <w:sz w:val="32"/>
        </w:rPr>
        <w:t>责任、制定全县住房保障相关政策、规划并组织实施。</w:t>
      </w:r>
    </w:p>
    <w:p w14:paraId="6B217AE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组织编制全县城乡建设抗震减灾规划并监督实施。</w:t>
      </w:r>
    </w:p>
    <w:p w14:paraId="01C32A6B">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承办县委、县人民政府交办的其他事项。</w:t>
      </w:r>
    </w:p>
    <w:p w14:paraId="4B5DC66F">
      <w:pPr>
        <w:spacing w:line="640" w:lineRule="exact"/>
        <w:ind w:firstLine="640"/>
        <w:jc w:val="both"/>
        <w:outlineLvl w:val="2"/>
      </w:pPr>
      <w:r>
        <w:rPr>
          <w:rFonts w:ascii="黑体" w:hAnsi="黑体" w:eastAsia="黑体"/>
          <w:sz w:val="32"/>
        </w:rPr>
        <w:t>二、机构设置及人员情况</w:t>
      </w:r>
    </w:p>
    <w:p w14:paraId="5B150369">
      <w:pPr>
        <w:spacing w:line="580" w:lineRule="exact"/>
        <w:ind w:firstLine="640"/>
        <w:jc w:val="both"/>
      </w:pPr>
      <w:r>
        <w:rPr>
          <w:rFonts w:ascii="仿宋_GB2312" w:hAnsi="仿宋_GB2312" w:eastAsia="仿宋_GB2312"/>
          <w:sz w:val="32"/>
        </w:rPr>
        <w:t>岳普湖县住房和城乡建设局2024年度，实有人数89人，其中：在职人员68人，减少4人；离休人员0人，增加0人；退休人员21人,增加5人。</w:t>
      </w:r>
    </w:p>
    <w:p w14:paraId="269C70CE">
      <w:pPr>
        <w:spacing w:line="580" w:lineRule="exact"/>
        <w:ind w:firstLine="640"/>
        <w:jc w:val="both"/>
      </w:pPr>
      <w:r>
        <w:rPr>
          <w:rFonts w:ascii="仿宋_GB2312" w:hAnsi="仿宋_GB2312" w:eastAsia="仿宋_GB2312"/>
          <w:sz w:val="32"/>
        </w:rPr>
        <w:t>岳普湖县住房和城乡建设局无下属预算单位，下设7个科室，分别是：城市管理监察大队、住房保障服务中心、市政公用设施服务中心、项目代建中心、质检站、工程交易中心、综合管理办公室。</w:t>
      </w:r>
    </w:p>
    <w:p w14:paraId="26443635">
      <w:r>
        <w:br w:type="page"/>
      </w:r>
    </w:p>
    <w:p w14:paraId="5CA37147">
      <w:pPr>
        <w:spacing w:line="240" w:lineRule="auto"/>
        <w:jc w:val="center"/>
        <w:outlineLvl w:val="1"/>
      </w:pPr>
      <w:r>
        <w:rPr>
          <w:rFonts w:ascii="黑体" w:hAnsi="黑体" w:eastAsia="黑体"/>
          <w:sz w:val="32"/>
        </w:rPr>
        <w:t>第二部分 部门决算情况说明</w:t>
      </w:r>
    </w:p>
    <w:p w14:paraId="7ADEB6D1">
      <w:pPr>
        <w:spacing w:line="640" w:lineRule="exact"/>
        <w:ind w:firstLine="640"/>
        <w:jc w:val="both"/>
        <w:outlineLvl w:val="2"/>
      </w:pPr>
      <w:r>
        <w:rPr>
          <w:rFonts w:ascii="黑体" w:hAnsi="黑体" w:eastAsia="黑体"/>
          <w:sz w:val="32"/>
        </w:rPr>
        <w:t>一、收入支出决算总体情况说明</w:t>
      </w:r>
    </w:p>
    <w:p w14:paraId="7952D837">
      <w:pPr>
        <w:spacing w:line="580" w:lineRule="exact"/>
        <w:ind w:firstLine="640"/>
        <w:jc w:val="both"/>
      </w:pPr>
      <w:r>
        <w:rPr>
          <w:rFonts w:ascii="仿宋_GB2312" w:hAnsi="仿宋_GB2312" w:eastAsia="仿宋_GB2312"/>
          <w:b/>
          <w:sz w:val="32"/>
        </w:rPr>
        <w:t>2024年度收入总计43,713.37万元，</w:t>
      </w:r>
      <w:r>
        <w:rPr>
          <w:rFonts w:ascii="仿宋_GB2312" w:hAnsi="仿宋_GB2312" w:eastAsia="仿宋_GB2312"/>
          <w:b w:val="0"/>
          <w:sz w:val="32"/>
        </w:rPr>
        <w:t>其中：本年收入合计43,713.37万元，使用非财政拨款结余（含专用结余）0.00万元，年初结转和结余0.00万元。</w:t>
      </w:r>
    </w:p>
    <w:p w14:paraId="72F86F70">
      <w:pPr>
        <w:spacing w:line="580" w:lineRule="exact"/>
        <w:ind w:firstLine="640"/>
        <w:jc w:val="both"/>
      </w:pPr>
      <w:r>
        <w:rPr>
          <w:rFonts w:ascii="仿宋_GB2312" w:hAnsi="仿宋_GB2312" w:eastAsia="仿宋_GB2312"/>
          <w:b/>
          <w:sz w:val="32"/>
        </w:rPr>
        <w:t>2024年度支出总计43,713.37万元，</w:t>
      </w:r>
      <w:r>
        <w:rPr>
          <w:rFonts w:ascii="仿宋_GB2312" w:hAnsi="仿宋_GB2312" w:eastAsia="仿宋_GB2312"/>
          <w:b w:val="0"/>
          <w:sz w:val="32"/>
        </w:rPr>
        <w:t>其中：本年支出合计43,713.37万元，结余分配0.00万元，年末结转和结余0.00万元。</w:t>
      </w:r>
    </w:p>
    <w:p w14:paraId="5699FD29">
      <w:pPr>
        <w:spacing w:line="580" w:lineRule="exact"/>
        <w:ind w:firstLine="640"/>
        <w:jc w:val="both"/>
      </w:pPr>
      <w:r>
        <w:rPr>
          <w:rFonts w:ascii="仿宋_GB2312" w:hAnsi="仿宋_GB2312" w:eastAsia="仿宋_GB2312"/>
          <w:b w:val="0"/>
          <w:sz w:val="32"/>
        </w:rPr>
        <w:t>收入支出总体与上年相比，增加1,332.56万元，增长3.14%，主要原因是：一是本年在职人员调增，社保、公积金基数调增，人员经费增加；二是本年增加喀什地区岳普湖县2023年供热超低排放改造项目、喀什地区岳普湖县中水回用管网建设项目工程、喀什地区岳普湖县市政大道建设项目、岳普湖县城绿化使用中水费用、2021年农村危房改造补助资金项目等项目。</w:t>
      </w:r>
    </w:p>
    <w:p w14:paraId="62DBCEA0">
      <w:pPr>
        <w:spacing w:line="640" w:lineRule="exact"/>
        <w:ind w:firstLine="640"/>
        <w:jc w:val="both"/>
        <w:outlineLvl w:val="2"/>
      </w:pPr>
      <w:r>
        <w:rPr>
          <w:rFonts w:ascii="黑体" w:hAnsi="黑体" w:eastAsia="黑体"/>
          <w:sz w:val="32"/>
        </w:rPr>
        <w:t>二、收入决算情况说明</w:t>
      </w:r>
    </w:p>
    <w:p w14:paraId="49F571D0">
      <w:pPr>
        <w:spacing w:line="580" w:lineRule="exact"/>
        <w:ind w:firstLine="640"/>
        <w:jc w:val="both"/>
      </w:pPr>
      <w:r>
        <w:rPr>
          <w:rFonts w:ascii="仿宋_GB2312" w:hAnsi="仿宋_GB2312" w:eastAsia="仿宋_GB2312"/>
          <w:b/>
          <w:sz w:val="32"/>
        </w:rPr>
        <w:t>本年收入43,713.37万元，</w:t>
      </w:r>
      <w:r>
        <w:rPr>
          <w:rFonts w:ascii="仿宋_GB2312" w:hAnsi="仿宋_GB2312" w:eastAsia="仿宋_GB2312"/>
          <w:b w:val="0"/>
          <w:sz w:val="32"/>
        </w:rPr>
        <w:t>其中：财政拨款收入42,779.66万元，占97.86%；上级补助收入0.00万元，占0.00%；事业收入0.00万元，占0.00%；经营收入0.00万元，占0.00%；附属单位上缴收入0.00万元，占0.00%；其他收入933.71万元，占2.14%。</w:t>
      </w:r>
    </w:p>
    <w:p w14:paraId="02F18C71">
      <w:pPr>
        <w:spacing w:line="640" w:lineRule="exact"/>
        <w:ind w:firstLine="640"/>
        <w:jc w:val="both"/>
        <w:outlineLvl w:val="2"/>
      </w:pPr>
      <w:r>
        <w:rPr>
          <w:rFonts w:ascii="黑体" w:hAnsi="黑体" w:eastAsia="黑体"/>
          <w:sz w:val="32"/>
        </w:rPr>
        <w:t>三、支出决算情况说明</w:t>
      </w:r>
    </w:p>
    <w:p w14:paraId="7E5ADE9E">
      <w:pPr>
        <w:spacing w:line="580" w:lineRule="exact"/>
        <w:ind w:firstLine="640"/>
        <w:jc w:val="both"/>
      </w:pPr>
      <w:r>
        <w:rPr>
          <w:rFonts w:ascii="仿宋_GB2312" w:hAnsi="仿宋_GB2312" w:eastAsia="仿宋_GB2312"/>
          <w:b/>
          <w:sz w:val="32"/>
        </w:rPr>
        <w:t>本年支出43,713.37万元，</w:t>
      </w:r>
      <w:r>
        <w:rPr>
          <w:rFonts w:ascii="仿宋_GB2312" w:hAnsi="仿宋_GB2312" w:eastAsia="仿宋_GB2312"/>
          <w:b w:val="0"/>
          <w:sz w:val="32"/>
        </w:rPr>
        <w:t>其中：基本支出1,048.30万元，占2.40%；项目支出42,665.07万元，占97.60%；上缴上级支出0.00万元，占0.00%；经营支出0.00万元，占0.00%；对附属单位补助支出0.00万元，占0.00%。</w:t>
      </w:r>
    </w:p>
    <w:p w14:paraId="1A275DD6">
      <w:pPr>
        <w:spacing w:line="640" w:lineRule="exact"/>
        <w:ind w:firstLine="640"/>
        <w:jc w:val="both"/>
        <w:outlineLvl w:val="2"/>
      </w:pPr>
      <w:r>
        <w:rPr>
          <w:rFonts w:ascii="黑体" w:hAnsi="黑体" w:eastAsia="黑体"/>
          <w:sz w:val="32"/>
        </w:rPr>
        <w:t>四、财政拨款收入支出决算总体情况说明</w:t>
      </w:r>
    </w:p>
    <w:p w14:paraId="279AD54C">
      <w:pPr>
        <w:spacing w:line="580" w:lineRule="exact"/>
        <w:ind w:firstLine="640"/>
        <w:jc w:val="both"/>
      </w:pPr>
      <w:r>
        <w:rPr>
          <w:rFonts w:ascii="仿宋_GB2312" w:hAnsi="仿宋_GB2312" w:eastAsia="仿宋_GB2312"/>
          <w:b/>
          <w:sz w:val="32"/>
        </w:rPr>
        <w:t>2024年度财政拨款收入总计42,779.66万元，</w:t>
      </w:r>
      <w:r>
        <w:rPr>
          <w:rFonts w:ascii="仿宋_GB2312" w:hAnsi="仿宋_GB2312" w:eastAsia="仿宋_GB2312"/>
          <w:b w:val="0"/>
          <w:sz w:val="32"/>
        </w:rPr>
        <w:t>其中：年初财政拨款结转和结余0.00万元，本年财政拨款收入42,779.66万元。</w:t>
      </w:r>
      <w:r>
        <w:rPr>
          <w:rFonts w:ascii="仿宋_GB2312" w:hAnsi="仿宋_GB2312" w:eastAsia="仿宋_GB2312"/>
          <w:b/>
          <w:sz w:val="32"/>
        </w:rPr>
        <w:t>财政拨款支出总计42,779.66万元，</w:t>
      </w:r>
      <w:r>
        <w:rPr>
          <w:rFonts w:ascii="仿宋_GB2312" w:hAnsi="仿宋_GB2312" w:eastAsia="仿宋_GB2312"/>
          <w:b w:val="0"/>
          <w:sz w:val="32"/>
        </w:rPr>
        <w:t>其中：年末财政拨款结转和结余0.00万元，本年财政拨款支出42,779.66万元。</w:t>
      </w:r>
    </w:p>
    <w:p w14:paraId="482C377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1,732.05万元，增长4.22%，主要原因是：一是本年在职人员工资调增、社保、公积金基数调增，人员经费增加；二是本年度新增喀什地区岳普湖县2024年县城供水基础设施建设项目、喀什地区岳普湖县2024年县城供热基础设施建设项目、喀什地区岳普湖县2024年燃气等老旧管网改造项目、岳普湖县城绿化使用中水费用、2021年农村危房改造补助资金项目。</w:t>
      </w:r>
      <w:r>
        <w:rPr>
          <w:rFonts w:ascii="仿宋_GB2312" w:hAnsi="仿宋_GB2312" w:eastAsia="仿宋_GB2312"/>
          <w:b/>
          <w:sz w:val="32"/>
        </w:rPr>
        <w:t>与年初预算相比，</w:t>
      </w:r>
      <w:r>
        <w:rPr>
          <w:rFonts w:ascii="仿宋_GB2312" w:hAnsi="仿宋_GB2312" w:eastAsia="仿宋_GB2312"/>
          <w:b w:val="0"/>
          <w:sz w:val="32"/>
        </w:rPr>
        <w:t>年初预算数9,664.17万元，决算数42,779.66万元，预决算差异率342.66%，主要原因是：一是年中追加人员工资、社保、公积金基数调增部分</w:t>
      </w:r>
      <w:r>
        <w:rPr>
          <w:rFonts w:hint="eastAsia" w:ascii="仿宋_GB2312" w:hAnsi="仿宋_GB2312" w:eastAsia="仿宋_GB2312"/>
          <w:b w:val="0"/>
          <w:sz w:val="32"/>
          <w:lang w:eastAsia="zh-CN"/>
        </w:rPr>
        <w:t>资金</w:t>
      </w:r>
      <w:r>
        <w:rPr>
          <w:rFonts w:ascii="仿宋_GB2312" w:hAnsi="仿宋_GB2312" w:eastAsia="仿宋_GB2312"/>
          <w:b w:val="0"/>
          <w:sz w:val="32"/>
        </w:rPr>
        <w:t>；二是年中追加绿化养护项目二标段、喀什地区岳普湖县城市地下管网建设项目、岳普湖县</w:t>
      </w:r>
      <w:r>
        <w:rPr>
          <w:rFonts w:hint="eastAsia" w:ascii="仿宋_GB2312" w:hAnsi="仿宋_GB2312" w:eastAsia="仿宋_GB2312"/>
          <w:b w:val="0"/>
          <w:sz w:val="32"/>
          <w:lang w:eastAsia="zh-CN"/>
        </w:rPr>
        <w:t>城市</w:t>
      </w:r>
      <w:r>
        <w:rPr>
          <w:rFonts w:ascii="仿宋_GB2312" w:hAnsi="仿宋_GB2312" w:eastAsia="仿宋_GB2312"/>
          <w:b w:val="0"/>
          <w:sz w:val="32"/>
        </w:rPr>
        <w:t>绿化使用中水费用、2021年农村危房改造补助资金项目、喀什地区岳普湖县2023年供热超低排放改造项目，导致预决算存在差异。</w:t>
      </w:r>
    </w:p>
    <w:p w14:paraId="47D9E0EF">
      <w:pPr>
        <w:spacing w:line="640" w:lineRule="exact"/>
        <w:ind w:firstLine="640"/>
        <w:jc w:val="both"/>
        <w:outlineLvl w:val="2"/>
      </w:pPr>
      <w:r>
        <w:rPr>
          <w:rFonts w:ascii="黑体" w:hAnsi="黑体" w:eastAsia="黑体"/>
          <w:sz w:val="32"/>
        </w:rPr>
        <w:t>五、一般公共预算财政拨款支出决算情况说明</w:t>
      </w:r>
    </w:p>
    <w:p w14:paraId="1AD956E1">
      <w:pPr>
        <w:spacing w:line="640" w:lineRule="exact"/>
        <w:ind w:firstLine="640"/>
        <w:jc w:val="both"/>
        <w:outlineLvl w:val="3"/>
      </w:pPr>
      <w:r>
        <w:rPr>
          <w:rFonts w:ascii="楷体_GB2312" w:hAnsi="楷体_GB2312" w:eastAsia="楷体_GB2312"/>
          <w:b/>
          <w:sz w:val="32"/>
        </w:rPr>
        <w:t>（一）一般公共预算财政拨款支出决算总体情况</w:t>
      </w:r>
    </w:p>
    <w:p w14:paraId="46ACF5AB">
      <w:pPr>
        <w:spacing w:line="580" w:lineRule="exact"/>
        <w:ind w:firstLine="640"/>
        <w:jc w:val="both"/>
      </w:pPr>
      <w:r>
        <w:rPr>
          <w:rFonts w:ascii="仿宋_GB2312" w:hAnsi="仿宋_GB2312" w:eastAsia="仿宋_GB2312"/>
          <w:b/>
          <w:sz w:val="32"/>
        </w:rPr>
        <w:t>2024年度一般公共预算财政拨款支出27,483.91万元，</w:t>
      </w:r>
      <w:r>
        <w:rPr>
          <w:rFonts w:ascii="仿宋_GB2312" w:hAnsi="仿宋_GB2312" w:eastAsia="仿宋_GB2312"/>
          <w:b w:val="0"/>
          <w:sz w:val="32"/>
        </w:rPr>
        <w:t>占本年支出合计的62.87%。</w:t>
      </w:r>
      <w:r>
        <w:rPr>
          <w:rFonts w:ascii="仿宋_GB2312" w:hAnsi="仿宋_GB2312" w:eastAsia="仿宋_GB2312"/>
          <w:b/>
          <w:sz w:val="32"/>
        </w:rPr>
        <w:t>与上年相比，</w:t>
      </w:r>
      <w:r>
        <w:rPr>
          <w:rFonts w:ascii="仿宋_GB2312" w:hAnsi="仿宋_GB2312" w:eastAsia="仿宋_GB2312"/>
          <w:b w:val="0"/>
          <w:sz w:val="32"/>
        </w:rPr>
        <w:t>增加14,521.30万元，增长112.02%，主要原因是：一是本年在职人员工资调增、社保、公积金基数调增，人员经费增加；二是新增绿化养护项目二标段、岳普湖县城市棚户区改造外配套基础设施建设项目（2020年保障房配套）绿化项目（EPC模式）、岳普湖县回购阿尔祖商业购物中心商品房项目，导致一般公共预算财政拨款增加。</w:t>
      </w:r>
      <w:r>
        <w:rPr>
          <w:rFonts w:ascii="仿宋_GB2312" w:hAnsi="仿宋_GB2312" w:eastAsia="仿宋_GB2312"/>
          <w:b/>
          <w:sz w:val="32"/>
        </w:rPr>
        <w:t>与年初预算相比,</w:t>
      </w:r>
      <w:r>
        <w:rPr>
          <w:rFonts w:ascii="仿宋_GB2312" w:hAnsi="仿宋_GB2312" w:eastAsia="仿宋_GB2312"/>
          <w:b w:val="0"/>
          <w:sz w:val="32"/>
        </w:rPr>
        <w:t>年初预算数9,664.17万元，决算数27,483.91万元，预决算差异率184.39%，主要原因是：本年在职人员工资调薪，工资、社保、公积金等相关人员经费增加，年中追加人员经费。年中追加岳普湖县2019年煤改电居民供暖实施改造项目、岳普湖县2019</w:t>
      </w:r>
      <w:r>
        <w:rPr>
          <w:rFonts w:hint="eastAsia" w:ascii="仿宋_GB2312" w:hAnsi="仿宋_GB2312" w:eastAsia="仿宋_GB2312"/>
          <w:b w:val="0"/>
          <w:sz w:val="32"/>
          <w:lang w:eastAsia="zh-CN"/>
        </w:rPr>
        <w:t>—</w:t>
      </w:r>
      <w:r>
        <w:rPr>
          <w:rFonts w:ascii="仿宋_GB2312" w:hAnsi="仿宋_GB2312" w:eastAsia="仿宋_GB2312"/>
          <w:b w:val="0"/>
          <w:sz w:val="32"/>
        </w:rPr>
        <w:t>2020年</w:t>
      </w:r>
      <w:r>
        <w:rPr>
          <w:rFonts w:hint="eastAsia" w:ascii="仿宋_GB2312" w:hAnsi="仿宋_GB2312" w:eastAsia="仿宋_GB2312"/>
          <w:b w:val="0"/>
          <w:sz w:val="32"/>
          <w:lang w:eastAsia="zh-CN"/>
        </w:rPr>
        <w:t>采暖</w:t>
      </w:r>
      <w:r>
        <w:rPr>
          <w:rFonts w:ascii="仿宋_GB2312" w:hAnsi="仿宋_GB2312" w:eastAsia="仿宋_GB2312"/>
          <w:b w:val="0"/>
          <w:sz w:val="32"/>
        </w:rPr>
        <w:t>供热抢修项目、</w:t>
      </w:r>
      <w:r>
        <w:rPr>
          <w:rFonts w:hint="eastAsia" w:ascii="仿宋_GB2312" w:hAnsi="仿宋_GB2312" w:eastAsia="仿宋_GB2312"/>
          <w:b w:val="0"/>
          <w:sz w:val="32"/>
          <w:lang w:eastAsia="zh-CN"/>
        </w:rPr>
        <w:t>易地扶贫搬迁</w:t>
      </w:r>
      <w:r>
        <w:rPr>
          <w:rFonts w:ascii="仿宋_GB2312" w:hAnsi="仿宋_GB2312" w:eastAsia="仿宋_GB2312"/>
          <w:b w:val="0"/>
          <w:sz w:val="32"/>
        </w:rPr>
        <w:t>路灯改造安装项目，导致预决算存在差异。</w:t>
      </w:r>
    </w:p>
    <w:p w14:paraId="2714E69A">
      <w:pPr>
        <w:spacing w:line="640" w:lineRule="exact"/>
        <w:ind w:firstLine="640"/>
        <w:jc w:val="both"/>
        <w:outlineLvl w:val="3"/>
      </w:pPr>
      <w:r>
        <w:rPr>
          <w:rFonts w:ascii="楷体_GB2312" w:hAnsi="楷体_GB2312" w:eastAsia="楷体_GB2312"/>
          <w:b/>
          <w:sz w:val="32"/>
        </w:rPr>
        <w:t>（二）一般公共预算财政拨款支出决算结构情况</w:t>
      </w:r>
    </w:p>
    <w:p w14:paraId="760AA401">
      <w:pPr>
        <w:spacing w:line="580" w:lineRule="exact"/>
        <w:ind w:firstLine="640"/>
        <w:jc w:val="both"/>
      </w:pPr>
      <w:r>
        <w:rPr>
          <w:rFonts w:ascii="仿宋_GB2312" w:hAnsi="仿宋_GB2312" w:eastAsia="仿宋_GB2312"/>
          <w:b w:val="0"/>
          <w:sz w:val="32"/>
        </w:rPr>
        <w:t>1.一般公共服务支出(类)1.79万元,占0.007%。</w:t>
      </w:r>
    </w:p>
    <w:p w14:paraId="5319AEAE">
      <w:pPr>
        <w:spacing w:line="580" w:lineRule="exact"/>
        <w:ind w:firstLine="640"/>
        <w:jc w:val="both"/>
      </w:pPr>
      <w:r>
        <w:rPr>
          <w:rFonts w:ascii="仿宋_GB2312" w:hAnsi="仿宋_GB2312" w:eastAsia="仿宋_GB2312"/>
          <w:b w:val="0"/>
          <w:sz w:val="32"/>
        </w:rPr>
        <w:t>2.社会保障和就业支出(类)199.07万元,占0.72%。</w:t>
      </w:r>
    </w:p>
    <w:p w14:paraId="16ECC284">
      <w:pPr>
        <w:spacing w:line="580" w:lineRule="exact"/>
        <w:ind w:firstLine="640"/>
        <w:jc w:val="both"/>
      </w:pPr>
      <w:r>
        <w:rPr>
          <w:rFonts w:ascii="仿宋_GB2312" w:hAnsi="仿宋_GB2312" w:eastAsia="仿宋_GB2312"/>
          <w:b w:val="0"/>
          <w:sz w:val="32"/>
        </w:rPr>
        <w:t>3.卫生健康支出(类)39.39万元,占0.14%。</w:t>
      </w:r>
    </w:p>
    <w:p w14:paraId="6B1D4059">
      <w:pPr>
        <w:spacing w:line="580" w:lineRule="exact"/>
        <w:ind w:firstLine="640"/>
        <w:jc w:val="both"/>
      </w:pPr>
      <w:r>
        <w:rPr>
          <w:rFonts w:ascii="仿宋_GB2312" w:hAnsi="仿宋_GB2312" w:eastAsia="仿宋_GB2312"/>
          <w:b w:val="0"/>
          <w:sz w:val="32"/>
        </w:rPr>
        <w:t>4.节能环保支出(类)2,897.05万元,占10.54%。</w:t>
      </w:r>
    </w:p>
    <w:p w14:paraId="1317CB60">
      <w:pPr>
        <w:spacing w:line="580" w:lineRule="exact"/>
        <w:ind w:firstLine="640"/>
        <w:jc w:val="both"/>
      </w:pPr>
      <w:r>
        <w:rPr>
          <w:rFonts w:ascii="仿宋_GB2312" w:hAnsi="仿宋_GB2312" w:eastAsia="仿宋_GB2312"/>
          <w:b w:val="0"/>
          <w:sz w:val="32"/>
        </w:rPr>
        <w:t>5.城乡社区支出(类)9,907.74万元,占36.05%。</w:t>
      </w:r>
    </w:p>
    <w:p w14:paraId="65C6A083">
      <w:pPr>
        <w:spacing w:line="580" w:lineRule="exact"/>
        <w:ind w:firstLine="640"/>
        <w:jc w:val="both"/>
      </w:pPr>
      <w:r>
        <w:rPr>
          <w:rFonts w:ascii="仿宋_GB2312" w:hAnsi="仿宋_GB2312" w:eastAsia="仿宋_GB2312"/>
          <w:b w:val="0"/>
          <w:sz w:val="32"/>
        </w:rPr>
        <w:t>6.农林水支出(类)10,590.75万元,占38.53%。</w:t>
      </w:r>
    </w:p>
    <w:p w14:paraId="64625F0B">
      <w:pPr>
        <w:spacing w:line="580" w:lineRule="exact"/>
        <w:ind w:firstLine="640"/>
        <w:jc w:val="both"/>
      </w:pPr>
      <w:r>
        <w:rPr>
          <w:rFonts w:ascii="仿宋_GB2312" w:hAnsi="仿宋_GB2312" w:eastAsia="仿宋_GB2312"/>
          <w:b w:val="0"/>
          <w:sz w:val="32"/>
        </w:rPr>
        <w:t>7.住房保障支出(类)2,493.87万元,占9.07%。</w:t>
      </w:r>
    </w:p>
    <w:p w14:paraId="79F8BD8A">
      <w:pPr>
        <w:spacing w:line="580" w:lineRule="exact"/>
        <w:ind w:firstLine="640"/>
        <w:jc w:val="both"/>
      </w:pPr>
      <w:r>
        <w:rPr>
          <w:rFonts w:ascii="仿宋_GB2312" w:hAnsi="仿宋_GB2312" w:eastAsia="仿宋_GB2312"/>
          <w:b w:val="0"/>
          <w:sz w:val="32"/>
        </w:rPr>
        <w:t>8.其他支出(类)1,354.24万元,占4.93%。</w:t>
      </w:r>
    </w:p>
    <w:p w14:paraId="4ED16066">
      <w:pPr>
        <w:spacing w:line="640" w:lineRule="exact"/>
        <w:ind w:firstLine="640"/>
        <w:jc w:val="both"/>
        <w:outlineLvl w:val="3"/>
      </w:pPr>
      <w:r>
        <w:rPr>
          <w:rFonts w:ascii="楷体_GB2312" w:hAnsi="楷体_GB2312" w:eastAsia="楷体_GB2312"/>
          <w:b/>
          <w:sz w:val="32"/>
        </w:rPr>
        <w:t>（三）一般公共预算财政拨款支出决算具体情况</w:t>
      </w:r>
    </w:p>
    <w:p w14:paraId="6F66A485">
      <w:pPr>
        <w:spacing w:line="580" w:lineRule="exact"/>
        <w:ind w:firstLine="640"/>
        <w:jc w:val="both"/>
      </w:pPr>
      <w:r>
        <w:rPr>
          <w:rFonts w:ascii="仿宋_GB2312" w:hAnsi="仿宋_GB2312" w:eastAsia="仿宋_GB2312"/>
          <w:b w:val="0"/>
          <w:sz w:val="32"/>
        </w:rPr>
        <w:t>1.一般公共服务支出(类)政协事务(款)行政运行(项):支出决算数为1.79万元，比上年决算增加1.79万元，增长100.00%,主要原因是：本年新增援疆干部、柔性人才补助1-12月人员柔性人才补助，导致经费较上年增加。</w:t>
      </w:r>
    </w:p>
    <w:p w14:paraId="501301F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22.85万元，比上年决算增加5.00万元，增长28.01%,主要原因是：本年退休人员增加、补发退休人员绩效，导致退休费较上年增加。</w:t>
      </w:r>
    </w:p>
    <w:p w14:paraId="1378BBA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82.65万元，比上年决算增加10.30万元，增长14.24%,主要原因是：本年在职人员工资基数调增，养老缴费基数上涨，相应支出增加。</w:t>
      </w:r>
    </w:p>
    <w:p w14:paraId="088D5D5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4.社会保障和就业支出(类)行政事业单位养老支出(款)机关事业单位职业年金缴费支出(项):支出决算数为93.57万元，比上年决算增加93.57万元，增长100.00%,主要原因是：本年新增退休人员，职业年金缴费支出增加。</w:t>
      </w:r>
    </w:p>
    <w:p w14:paraId="79C41FE3">
      <w:pPr>
        <w:spacing w:line="580" w:lineRule="exact"/>
        <w:ind w:firstLine="640"/>
        <w:jc w:val="both"/>
      </w:pPr>
      <w:r>
        <w:rPr>
          <w:rFonts w:ascii="仿宋_GB2312" w:hAnsi="仿宋_GB2312" w:eastAsia="仿宋_GB2312"/>
          <w:b w:val="0"/>
          <w:sz w:val="32"/>
        </w:rPr>
        <w:t>5.卫生健康支出(类)公共卫生(款)突发公共卫生事件应急处理(项):支出决算数为0.00万元，比上年决算减少308.87万元，下降100.00%,主要原因是：本年减少岳普湖县</w:t>
      </w:r>
      <w:r>
        <w:rPr>
          <w:rFonts w:hint="eastAsia" w:ascii="仿宋_GB2312" w:hAnsi="仿宋_GB2312" w:eastAsia="仿宋_GB2312"/>
          <w:b w:val="0"/>
          <w:sz w:val="32"/>
          <w:lang w:eastAsia="zh-CN"/>
        </w:rPr>
        <w:t>YQ</w:t>
      </w:r>
      <w:r>
        <w:rPr>
          <w:rFonts w:ascii="仿宋_GB2312" w:hAnsi="仿宋_GB2312" w:eastAsia="仿宋_GB2312"/>
          <w:b w:val="0"/>
          <w:sz w:val="32"/>
        </w:rPr>
        <w:t>隔离点改造项目、中央</w:t>
      </w:r>
      <w:r>
        <w:rPr>
          <w:rFonts w:hint="eastAsia" w:ascii="仿宋_GB2312" w:hAnsi="仿宋_GB2312" w:eastAsia="仿宋_GB2312"/>
          <w:b w:val="0"/>
          <w:sz w:val="32"/>
          <w:lang w:eastAsia="zh-CN"/>
        </w:rPr>
        <w:t>YQ</w:t>
      </w:r>
      <w:r>
        <w:rPr>
          <w:rFonts w:ascii="仿宋_GB2312" w:hAnsi="仿宋_GB2312" w:eastAsia="仿宋_GB2312"/>
          <w:b w:val="0"/>
          <w:sz w:val="32"/>
        </w:rPr>
        <w:t>防控财力补助资金项目。</w:t>
      </w:r>
    </w:p>
    <w:p w14:paraId="6F7F2C92">
      <w:pPr>
        <w:spacing w:line="580" w:lineRule="exact"/>
        <w:ind w:firstLine="640"/>
        <w:jc w:val="both"/>
      </w:pPr>
      <w:r>
        <w:rPr>
          <w:rFonts w:ascii="仿宋_GB2312" w:hAnsi="仿宋_GB2312" w:eastAsia="仿宋_GB2312"/>
          <w:b w:val="0"/>
          <w:sz w:val="32"/>
        </w:rPr>
        <w:t>6.卫生健康支出(类)行政事业单位医疗(款)行政单位医疗(项):支出决算数为35.12万元，比上年决算减少2.30万元，下降6.15%,主要原因是：本年在职人员减少，行政单位医疗支出较上年减少。</w:t>
      </w:r>
    </w:p>
    <w:p w14:paraId="539E2223">
      <w:pPr>
        <w:spacing w:line="580" w:lineRule="exact"/>
        <w:ind w:firstLine="640"/>
        <w:jc w:val="both"/>
      </w:pPr>
      <w:r>
        <w:rPr>
          <w:rFonts w:ascii="仿宋_GB2312" w:hAnsi="仿宋_GB2312" w:eastAsia="仿宋_GB2312"/>
          <w:b w:val="0"/>
          <w:sz w:val="32"/>
        </w:rPr>
        <w:t>7.卫生健康支出(类)行政事业单位医疗(款)公务员医疗补助(项):支出决算数为4.27万元，比上年决算减少0.62万元，下降12.68%,主要原因是：本年在职人员减少，公务员医疗补助较上年减少。</w:t>
      </w:r>
    </w:p>
    <w:p w14:paraId="48E18885">
      <w:pPr>
        <w:spacing w:line="580" w:lineRule="exact"/>
        <w:ind w:firstLine="640"/>
        <w:jc w:val="both"/>
      </w:pPr>
      <w:r>
        <w:rPr>
          <w:rFonts w:ascii="仿宋_GB2312" w:hAnsi="仿宋_GB2312" w:eastAsia="仿宋_GB2312"/>
          <w:b w:val="0"/>
          <w:sz w:val="32"/>
        </w:rPr>
        <w:t>8.节能环保支出(类)环境监测与监察(款)建设项目环评审查与监督(项):支出决算数为50.00万元，比上年决算增加50.00万元，增长100.00%,主要原因是：本年新增喀什地区生态环境局岳普湖县分</w:t>
      </w:r>
      <w:r>
        <w:rPr>
          <w:rFonts w:hint="eastAsia" w:ascii="仿宋_GB2312" w:hAnsi="仿宋_GB2312" w:eastAsia="仿宋_GB2312"/>
          <w:b w:val="0"/>
          <w:sz w:val="32"/>
          <w:lang w:eastAsia="zh-CN"/>
        </w:rPr>
        <w:t>局支</w:t>
      </w:r>
      <w:r>
        <w:rPr>
          <w:rFonts w:ascii="仿宋_GB2312" w:hAnsi="仿宋_GB2312" w:eastAsia="仿宋_GB2312"/>
          <w:b w:val="0"/>
          <w:sz w:val="32"/>
        </w:rPr>
        <w:t>付技术论证报告费，导致经费较上年增加。</w:t>
      </w:r>
    </w:p>
    <w:p w14:paraId="12BC8813">
      <w:pPr>
        <w:spacing w:line="580" w:lineRule="exact"/>
        <w:ind w:firstLine="640"/>
        <w:jc w:val="both"/>
      </w:pPr>
      <w:r>
        <w:rPr>
          <w:rFonts w:ascii="仿宋_GB2312" w:hAnsi="仿宋_GB2312" w:eastAsia="仿宋_GB2312"/>
          <w:b w:val="0"/>
          <w:sz w:val="32"/>
        </w:rPr>
        <w:t>9.节能环保支出(类)环境监测与监察(款)其他环境监测与监察支出(项):支出决算数为245.94万元，比上年决算增加245.94万元，增长100.00%,主要原因是：本年新增喀什地区生态环境局岳普湖县分局付费，导致经费较上年增加。</w:t>
      </w:r>
    </w:p>
    <w:p w14:paraId="1A752DEA">
      <w:pPr>
        <w:spacing w:line="580" w:lineRule="exact"/>
        <w:ind w:firstLine="640"/>
        <w:jc w:val="both"/>
      </w:pPr>
      <w:r>
        <w:rPr>
          <w:rFonts w:ascii="仿宋_GB2312" w:hAnsi="仿宋_GB2312" w:eastAsia="仿宋_GB2312"/>
          <w:b w:val="0"/>
          <w:sz w:val="32"/>
        </w:rPr>
        <w:t>10.节能环保支出(类)污染防治(款)大气(项):支出决算数为1,208.67万元，比上年决算增加1,208.67万元，增长100.00%,主要原因是：本年新增喀什地区岳普湖县2023年供热超低排放改造项目，导致经费较上年增加。</w:t>
      </w:r>
    </w:p>
    <w:p w14:paraId="7008D6C4">
      <w:pPr>
        <w:spacing w:line="580" w:lineRule="exact"/>
        <w:ind w:firstLine="640"/>
        <w:jc w:val="both"/>
      </w:pPr>
      <w:r>
        <w:rPr>
          <w:rFonts w:ascii="仿宋_GB2312" w:hAnsi="仿宋_GB2312" w:eastAsia="仿宋_GB2312"/>
          <w:b w:val="0"/>
          <w:sz w:val="32"/>
        </w:rPr>
        <w:t>11.节能环保支出(类)污染防治(款)水体(项):支出决算数为1,084.53万元，比上年决算增加1,084.53万元，增长100.00%,主要原因是：本年新增喀什地区岳普湖县中水回用管网建设项目工程，导致经费较上年增加。</w:t>
      </w:r>
    </w:p>
    <w:p w14:paraId="460CA8DF">
      <w:pPr>
        <w:spacing w:line="580" w:lineRule="exact"/>
        <w:ind w:firstLine="640"/>
        <w:jc w:val="both"/>
      </w:pPr>
      <w:r>
        <w:rPr>
          <w:rFonts w:ascii="仿宋_GB2312" w:hAnsi="仿宋_GB2312" w:eastAsia="仿宋_GB2312"/>
          <w:b w:val="0"/>
          <w:sz w:val="32"/>
        </w:rPr>
        <w:t>12.节能环保支出(类)污染防治(款)其他污染防治支出(项):支出决算数为0.00万元，比上年决算减少86.43万元，下降100.00%,主要原因是：本年减少岳普湖县污水处理中水库建设项目支出，导致经费较上年减少。</w:t>
      </w:r>
    </w:p>
    <w:p w14:paraId="1E09F94E">
      <w:pPr>
        <w:spacing w:line="580" w:lineRule="exact"/>
        <w:ind w:firstLine="640"/>
        <w:jc w:val="both"/>
      </w:pPr>
      <w:r>
        <w:rPr>
          <w:rFonts w:ascii="仿宋_GB2312" w:hAnsi="仿宋_GB2312" w:eastAsia="仿宋_GB2312"/>
          <w:b w:val="0"/>
          <w:sz w:val="32"/>
        </w:rPr>
        <w:t>13.节能环保支出(类)能源节约利用(款)能源节约利用(项):支出决算数为298.86万元，比上年决算减少541.05万元，下降64.42%,主要原因是：本年度减少岳普湖县2022年煤改电项目支出，导致经费较上年减少。</w:t>
      </w:r>
    </w:p>
    <w:p w14:paraId="025DD821">
      <w:pPr>
        <w:spacing w:line="580" w:lineRule="exact"/>
        <w:ind w:firstLine="640"/>
        <w:jc w:val="both"/>
      </w:pPr>
      <w:r>
        <w:rPr>
          <w:rFonts w:ascii="仿宋_GB2312" w:hAnsi="仿宋_GB2312" w:eastAsia="仿宋_GB2312"/>
          <w:b w:val="0"/>
          <w:sz w:val="32"/>
        </w:rPr>
        <w:t>14.节能环保支出(类)其他节能环保支出(款)其他节能环保支出(项):支出决算数为9.05万元，比上年决算增加9.05万元，增长100.00%,主要原因是：本年度新增喀什地区生态环境局岳普湖县分</w:t>
      </w:r>
      <w:r>
        <w:rPr>
          <w:rFonts w:hint="eastAsia" w:ascii="仿宋_GB2312" w:hAnsi="仿宋_GB2312" w:eastAsia="仿宋_GB2312"/>
          <w:b w:val="0"/>
          <w:sz w:val="32"/>
          <w:lang w:eastAsia="zh-CN"/>
        </w:rPr>
        <w:t>局支</w:t>
      </w:r>
      <w:r>
        <w:rPr>
          <w:rFonts w:ascii="仿宋_GB2312" w:hAnsi="仿宋_GB2312" w:eastAsia="仿宋_GB2312"/>
          <w:b w:val="0"/>
          <w:sz w:val="32"/>
        </w:rPr>
        <w:t>付购买生态环境执法设备费相关支出，导致经费较上年增加。</w:t>
      </w:r>
    </w:p>
    <w:p w14:paraId="51712693">
      <w:pPr>
        <w:spacing w:line="580" w:lineRule="exact"/>
        <w:ind w:firstLine="640"/>
        <w:jc w:val="both"/>
      </w:pPr>
      <w:r>
        <w:rPr>
          <w:rFonts w:ascii="仿宋_GB2312" w:hAnsi="仿宋_GB2312" w:eastAsia="仿宋_GB2312"/>
          <w:b w:val="0"/>
          <w:sz w:val="32"/>
        </w:rPr>
        <w:t>15.城乡社区支出(类)城乡社区管理事务(款)行政运行(项):支出决算数为741.16万元，比上年决算减少24.00万元，下降3.14%,主要原因是：本年减少岳普湖县清洁环卫服务费，导致经费较上年减少；本年在职人员减少，相应人员经费较上年减少。</w:t>
      </w:r>
    </w:p>
    <w:p w14:paraId="5742BA06">
      <w:pPr>
        <w:spacing w:line="580" w:lineRule="exact"/>
        <w:ind w:firstLine="640"/>
        <w:jc w:val="both"/>
      </w:pPr>
      <w:r>
        <w:rPr>
          <w:rFonts w:ascii="仿宋_GB2312" w:hAnsi="仿宋_GB2312" w:eastAsia="仿宋_GB2312"/>
          <w:b w:val="0"/>
          <w:sz w:val="32"/>
        </w:rPr>
        <w:t>16.城乡社区支出(类)城乡社区管理事务(款)一般行政管理事务(项):支出决算数为857.21万元，比上年决算减少872.79万元，下降50.45%,主要原因是：本年减少喀什地区岳普湖县生活垃圾处理工程、喀什地区岳普湖县2015年城市棚改小区配套基础设施建设项目、岳普湖县2014年城市棚改小区配套基础设施建设项目，导致经费较上年减少。</w:t>
      </w:r>
    </w:p>
    <w:p w14:paraId="1C6AAB5E">
      <w:pPr>
        <w:spacing w:line="580" w:lineRule="exact"/>
        <w:ind w:firstLine="640"/>
        <w:jc w:val="both"/>
      </w:pPr>
      <w:r>
        <w:rPr>
          <w:rFonts w:ascii="仿宋_GB2312" w:hAnsi="仿宋_GB2312" w:eastAsia="仿宋_GB2312"/>
          <w:b w:val="0"/>
          <w:sz w:val="32"/>
        </w:rPr>
        <w:t>17.城乡社区支出(类)城乡社区管理事务(款)其他城乡社区管理事务支出(项):支出决算数为2,822.46万元，比上年决算增加1,789.44万元，增长173.22%,主要原因是：本年度新增岳普湖县2024年绿化养护项目、岳普湖县2020年公租房建设项目、岳普湖县住房保障服务中心维修基金。</w:t>
      </w:r>
    </w:p>
    <w:p w14:paraId="6B1FF953">
      <w:pPr>
        <w:spacing w:line="580" w:lineRule="exact"/>
        <w:ind w:firstLine="640"/>
        <w:jc w:val="both"/>
      </w:pPr>
      <w:r>
        <w:rPr>
          <w:rFonts w:ascii="仿宋_GB2312" w:hAnsi="仿宋_GB2312" w:eastAsia="仿宋_GB2312"/>
          <w:b w:val="0"/>
          <w:sz w:val="32"/>
        </w:rPr>
        <w:t>18.城乡社区支出(类)城乡社区规划与管理(款)城乡社区规划与管理(项):支出决算数为0.00万元，比上年决算减少70.02万元，下降100.00%,主要原因是：本年减少喀什地区岳普湖县2022年老城区水防涝设施建设项目。</w:t>
      </w:r>
    </w:p>
    <w:p w14:paraId="047BA83E">
      <w:pPr>
        <w:spacing w:line="580" w:lineRule="exact"/>
        <w:ind w:firstLine="640"/>
        <w:jc w:val="both"/>
      </w:pPr>
      <w:r>
        <w:rPr>
          <w:rFonts w:ascii="仿宋_GB2312" w:hAnsi="仿宋_GB2312" w:eastAsia="仿宋_GB2312"/>
          <w:b w:val="0"/>
          <w:sz w:val="32"/>
        </w:rPr>
        <w:t>19.城乡社区支出(类)城乡社区公共设施(款)小城镇基础设施建设(项):支出决算数为5,331.86万元，比上年决算增加5,331.86万元，增长100.00%,主要原因是：本年新增喀什地区岳普湖县市政大道建设项目、喀什地区岳普湖县2024年县城供热基础设施建设项目、喀什地区岳普湖县2024年县城供水基础设施建设项目、喀什地区岳普湖县2024年燃气等老旧管网改造项目、喀什地区岳普湖县文化路改扩建建设项目。</w:t>
      </w:r>
    </w:p>
    <w:p w14:paraId="474213F8">
      <w:pPr>
        <w:spacing w:line="580" w:lineRule="exact"/>
        <w:ind w:firstLine="640"/>
        <w:jc w:val="both"/>
      </w:pPr>
      <w:r>
        <w:rPr>
          <w:rFonts w:ascii="仿宋_GB2312" w:hAnsi="仿宋_GB2312" w:eastAsia="仿宋_GB2312"/>
          <w:b w:val="0"/>
          <w:sz w:val="32"/>
        </w:rPr>
        <w:t>20.城乡社区支出(类)城乡社区公共设施(款)其他城乡社区公共设施支出(项):支出决算数为0.00万元，比上年决算减少1,026.22万元，下降100.00%,主要原因是：本年减少岳普湖县创建自治区园林县城服务项目、岳普湖县新增政府购买服务岗位50名环卫工工资、岳普湖县新城区1号路人行道等2个项目耕地占用税。</w:t>
      </w:r>
    </w:p>
    <w:p w14:paraId="5A3F2842">
      <w:pPr>
        <w:spacing w:line="580" w:lineRule="exact"/>
        <w:ind w:firstLine="640"/>
        <w:jc w:val="both"/>
      </w:pPr>
      <w:r>
        <w:rPr>
          <w:rFonts w:ascii="仿宋_GB2312" w:hAnsi="仿宋_GB2312" w:eastAsia="仿宋_GB2312"/>
          <w:b w:val="0"/>
          <w:sz w:val="32"/>
        </w:rPr>
        <w:t>21.城乡社区支出(类)城乡社区环境卫生(款)城乡社区环境卫生(项):支出决算数为34.26万元，比上年决算减少935.66万元，下降96.47%,主要原因是：本年减少岳普湖县城乡环卫项目政府购买服务费、岳普湖轻工建材园绿化项目、岳普湖县绿化苗木管护费。</w:t>
      </w:r>
    </w:p>
    <w:p w14:paraId="0B292AAC">
      <w:pPr>
        <w:spacing w:line="580" w:lineRule="exact"/>
        <w:ind w:firstLine="640"/>
        <w:jc w:val="both"/>
      </w:pPr>
      <w:r>
        <w:rPr>
          <w:rFonts w:ascii="仿宋_GB2312" w:hAnsi="仿宋_GB2312" w:eastAsia="仿宋_GB2312"/>
          <w:b w:val="0"/>
          <w:sz w:val="32"/>
        </w:rPr>
        <w:t>22.城乡社区支出(类)其他城乡社区支出(款)其他城乡社区支出(项):支出决算数为120.79万元，比上年决算减少108.00万元，下降47.20%,主要原因是：本年减少岳普湖县创建自治区园林县城服务项目、2016年城市棚改小区配套基础设施建设项目（文化南路片区）审计费、岳普湖县城市市政道路提升改造项目占用林地罚款费用。</w:t>
      </w:r>
    </w:p>
    <w:p w14:paraId="479E7B32">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0.00万元，比上年决算减少277.31万元，下降100.00%,主要原因是：本年度减少乡村振兴重点示范村项目；功能科目调整，煤改电</w:t>
      </w:r>
      <w:bookmarkStart w:id="0" w:name="_GoBack"/>
      <w:r>
        <w:rPr>
          <w:rFonts w:ascii="仿宋_GB2312" w:hAnsi="仿宋_GB2312" w:eastAsia="仿宋_GB2312"/>
          <w:b w:val="0"/>
          <w:sz w:val="32"/>
        </w:rPr>
        <w:t>”</w:t>
      </w:r>
      <w:bookmarkEnd w:id="0"/>
      <w:r>
        <w:rPr>
          <w:rFonts w:ascii="仿宋_GB2312" w:hAnsi="仿宋_GB2312" w:eastAsia="仿宋_GB2312"/>
          <w:b w:val="0"/>
          <w:sz w:val="32"/>
        </w:rPr>
        <w:t>改电工程项目上年在农村基础设施建设科目列支，本年在生产发展科目列支，导致经费较上年减少。</w:t>
      </w:r>
    </w:p>
    <w:p w14:paraId="1E5D07E0">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25.11万元，比上年决算增加25.11万元，增长100.00%,主要原因是：本年功能科目调整，煤改电”改电工程项目上年在农村基础设施建设科目列支，本年在生产发展科目列支，导致经费较上年增加。</w:t>
      </w:r>
    </w:p>
    <w:p w14:paraId="69D6F7BC">
      <w:pPr>
        <w:spacing w:line="580" w:lineRule="exact"/>
        <w:ind w:firstLine="640"/>
        <w:jc w:val="both"/>
      </w:pPr>
      <w:r>
        <w:rPr>
          <w:rFonts w:ascii="仿宋_GB2312" w:hAnsi="仿宋_GB2312" w:eastAsia="仿宋_GB2312"/>
          <w:b w:val="0"/>
          <w:sz w:val="32"/>
        </w:rPr>
        <w:t>25.农林水支出(类)其他农林水支出(款)其他农林水支出(项):支出决算数为10,565.64万元，比上年决算增加10,565.64万元，增长100.00%,主要原因是：本年新增岳普湖县棚户区改造建设项目、平改坡建设项目、岳普湖县棚户区改造建设项目二期。</w:t>
      </w:r>
    </w:p>
    <w:p w14:paraId="7F231D10">
      <w:pPr>
        <w:spacing w:line="580" w:lineRule="exact"/>
        <w:ind w:firstLine="640"/>
        <w:jc w:val="both"/>
      </w:pPr>
      <w:r>
        <w:rPr>
          <w:rFonts w:ascii="仿宋_GB2312" w:hAnsi="仿宋_GB2312" w:eastAsia="仿宋_GB2312"/>
          <w:b w:val="0"/>
          <w:sz w:val="32"/>
        </w:rPr>
        <w:t>26.住房保障支出(类)保障性安居工程支出(款)棚户区改造(项):支出决算数为329.35万元，比上年决算减少1,542.38万元，下降82.40%,主要原因是：本年减少岳普湖县2023年棚户区改造建设项目、岳普湖县2022年棚户区改造项目、棚户区改造安置小区垃圾清运项目。</w:t>
      </w:r>
    </w:p>
    <w:p w14:paraId="31CF5109">
      <w:pPr>
        <w:spacing w:line="580" w:lineRule="exact"/>
        <w:ind w:firstLine="640"/>
        <w:jc w:val="both"/>
      </w:pPr>
      <w:r>
        <w:rPr>
          <w:rFonts w:ascii="仿宋_GB2312" w:hAnsi="仿宋_GB2312" w:eastAsia="仿宋_GB2312"/>
          <w:b w:val="0"/>
          <w:sz w:val="32"/>
        </w:rPr>
        <w:t>27.住房保障支出(类)保障性安居工程支出(款)农村危房改造(项):支出决算数为91.53万元，比上年决算增加85.35万元，增长1,381.07%,主要原因是：本年增加2024年农村危房改造项目、2024年城乡抗震安居工程建设项目。</w:t>
      </w:r>
    </w:p>
    <w:p w14:paraId="54494830">
      <w:pPr>
        <w:spacing w:line="580" w:lineRule="exact"/>
        <w:ind w:firstLine="640"/>
        <w:jc w:val="both"/>
      </w:pPr>
      <w:r>
        <w:rPr>
          <w:rFonts w:ascii="仿宋_GB2312" w:hAnsi="仿宋_GB2312" w:eastAsia="仿宋_GB2312"/>
          <w:b w:val="0"/>
          <w:sz w:val="32"/>
        </w:rPr>
        <w:t>28.住房保障支出(类)保障性安居工程支出(款)公共租赁住房(项):支出决算数为0.00万元，比上年决算减少57.55万元，下降100.00%,主要原因是：本年减少岳普湖县公共租赁住房配套基础设施建设项目外配套。</w:t>
      </w:r>
    </w:p>
    <w:p w14:paraId="1E6A10F5">
      <w:pPr>
        <w:spacing w:line="580" w:lineRule="exact"/>
        <w:ind w:firstLine="640"/>
        <w:jc w:val="both"/>
      </w:pPr>
      <w:r>
        <w:rPr>
          <w:rFonts w:ascii="仿宋_GB2312" w:hAnsi="仿宋_GB2312" w:eastAsia="仿宋_GB2312"/>
          <w:b w:val="0"/>
          <w:sz w:val="32"/>
        </w:rPr>
        <w:t>29.住房保障支出(类)保障性安居工程支出(款)老旧小区改造(项):支出决算数为425.62万元，比上年决算增加99.47万元，增长30.50%,主要原因是：本年新增岳普湖县2023年老旧小区改造建设项目、喀什地区岳普湖县2023年老旧小区改造配套基础设施建设项目（内配套）。</w:t>
      </w:r>
    </w:p>
    <w:p w14:paraId="6C939044">
      <w:pPr>
        <w:spacing w:line="580" w:lineRule="exact"/>
        <w:ind w:firstLine="640"/>
        <w:jc w:val="both"/>
      </w:pPr>
      <w:r>
        <w:rPr>
          <w:rFonts w:ascii="仿宋_GB2312" w:hAnsi="仿宋_GB2312" w:eastAsia="仿宋_GB2312"/>
          <w:b w:val="0"/>
          <w:sz w:val="32"/>
        </w:rPr>
        <w:t>30.住房保障支出(类)保障性安居工程支出(款)其他保障性安居工程支出(项):支出决算数为1,518.98万元，比上年决算增加386.23万元，增长34.10%,主要原因是：本年新增喀什地区岳普湖县燃气管等老旧管网改造项目。</w:t>
      </w:r>
    </w:p>
    <w:p w14:paraId="4458FC2D">
      <w:pPr>
        <w:spacing w:line="580" w:lineRule="exact"/>
        <w:ind w:firstLine="640"/>
        <w:jc w:val="both"/>
      </w:pPr>
      <w:r>
        <w:rPr>
          <w:rFonts w:ascii="仿宋_GB2312" w:hAnsi="仿宋_GB2312" w:eastAsia="仿宋_GB2312"/>
          <w:b w:val="0"/>
          <w:sz w:val="32"/>
        </w:rPr>
        <w:t>31.住房保障支出(类)住房改革支出(款)住房公积金(项):支出决算数为66.89万元，比上年决算增加9.98万元，增长17.54%,主要原因是：本年在职人员工资基数调增，公积金缴费基数上涨，相应支出增加。</w:t>
      </w:r>
    </w:p>
    <w:p w14:paraId="125A4100">
      <w:pPr>
        <w:spacing w:line="580" w:lineRule="exact"/>
        <w:ind w:firstLine="640"/>
        <w:jc w:val="both"/>
      </w:pPr>
      <w:r>
        <w:rPr>
          <w:rFonts w:ascii="仿宋_GB2312" w:hAnsi="仿宋_GB2312" w:eastAsia="仿宋_GB2312"/>
          <w:b w:val="0"/>
          <w:sz w:val="32"/>
        </w:rPr>
        <w:t>32.住房保障支出(类)城乡社区住宅(款)其他城乡社区住宅支出(项):支出决算数为61.50万元，比上年决算增加61.50万元，增长100.00%,主要原因是：本年新增2024年城乡抗震安居工程建设项目。</w:t>
      </w:r>
    </w:p>
    <w:p w14:paraId="43AC9A6F">
      <w:pPr>
        <w:spacing w:line="580" w:lineRule="exact"/>
        <w:ind w:firstLine="640"/>
        <w:jc w:val="both"/>
      </w:pPr>
      <w:r>
        <w:rPr>
          <w:rFonts w:ascii="仿宋_GB2312" w:hAnsi="仿宋_GB2312" w:eastAsia="仿宋_GB2312"/>
          <w:b w:val="0"/>
          <w:sz w:val="32"/>
        </w:rPr>
        <w:t>33.其他支出(类)其他支出(款)其他支出(项):支出决算数为1,354.24万元，比上年决算减少688.94万元，下降33.72%,主要原因是：本年减少喀什地区岳普湖县迎宾大道、南环路供水管网改造项目。</w:t>
      </w:r>
    </w:p>
    <w:p w14:paraId="28F260D8">
      <w:pPr>
        <w:spacing w:line="640" w:lineRule="exact"/>
        <w:ind w:firstLine="640"/>
        <w:jc w:val="both"/>
        <w:outlineLvl w:val="2"/>
      </w:pPr>
      <w:r>
        <w:rPr>
          <w:rFonts w:ascii="黑体" w:hAnsi="黑体" w:eastAsia="黑体"/>
          <w:sz w:val="32"/>
        </w:rPr>
        <w:t>六、一般公共预算财政拨款基本支出决算情况说明</w:t>
      </w:r>
    </w:p>
    <w:p w14:paraId="2FC04DD1">
      <w:pPr>
        <w:spacing w:line="580" w:lineRule="exact"/>
        <w:ind w:firstLine="640"/>
        <w:jc w:val="both"/>
      </w:pPr>
      <w:r>
        <w:rPr>
          <w:rFonts w:ascii="仿宋_GB2312" w:hAnsi="仿宋_GB2312" w:eastAsia="仿宋_GB2312"/>
          <w:b w:val="0"/>
          <w:sz w:val="32"/>
        </w:rPr>
        <w:t>2024年度一般公共预算财政拨款基本支出1,048.30万元，其中：</w:t>
      </w:r>
      <w:r>
        <w:rPr>
          <w:rFonts w:ascii="仿宋_GB2312" w:hAnsi="仿宋_GB2312" w:eastAsia="仿宋_GB2312"/>
          <w:b/>
          <w:sz w:val="32"/>
        </w:rPr>
        <w:t>人员经费1,016.44万元，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30D8DC2E">
      <w:pPr>
        <w:spacing w:line="580" w:lineRule="exact"/>
        <w:ind w:firstLine="640"/>
        <w:jc w:val="both"/>
      </w:pPr>
      <w:r>
        <w:rPr>
          <w:rFonts w:ascii="仿宋_GB2312" w:hAnsi="仿宋_GB2312" w:eastAsia="仿宋_GB2312"/>
          <w:b/>
          <w:sz w:val="32"/>
        </w:rPr>
        <w:t>公用经费31.86万元，</w:t>
      </w:r>
      <w:r>
        <w:rPr>
          <w:rFonts w:ascii="仿宋_GB2312" w:hAnsi="仿宋_GB2312" w:eastAsia="仿宋_GB2312"/>
          <w:b w:val="0"/>
          <w:sz w:val="32"/>
        </w:rPr>
        <w:t>包括：办公费、水费、邮电费、取暖费、差旅费、公务用车运行维护费、其他交通费用。</w:t>
      </w:r>
    </w:p>
    <w:p w14:paraId="24DB89E0">
      <w:pPr>
        <w:spacing w:line="640" w:lineRule="exact"/>
        <w:ind w:firstLine="640"/>
        <w:jc w:val="both"/>
        <w:outlineLvl w:val="2"/>
      </w:pPr>
      <w:r>
        <w:rPr>
          <w:rFonts w:ascii="黑体" w:hAnsi="黑体" w:eastAsia="黑体"/>
          <w:sz w:val="32"/>
        </w:rPr>
        <w:t>七、政府性基金预算财政拨款收入支出决算情况说明</w:t>
      </w:r>
    </w:p>
    <w:p w14:paraId="38CBCBBB">
      <w:pPr>
        <w:spacing w:line="580" w:lineRule="exact"/>
        <w:ind w:firstLine="640"/>
        <w:jc w:val="both"/>
      </w:pPr>
      <w:r>
        <w:rPr>
          <w:rFonts w:ascii="仿宋_GB2312" w:hAnsi="仿宋_GB2312" w:eastAsia="仿宋_GB2312"/>
          <w:b/>
          <w:sz w:val="32"/>
        </w:rPr>
        <w:t>2024年度政府性基金预算财政拨款收入总计15,295.75万元，</w:t>
      </w:r>
      <w:r>
        <w:rPr>
          <w:rFonts w:ascii="仿宋_GB2312" w:hAnsi="仿宋_GB2312" w:eastAsia="仿宋_GB2312"/>
          <w:b w:val="0"/>
          <w:sz w:val="32"/>
        </w:rPr>
        <w:t>其中：年初结转和结余0.00万元，本年收入15,295.75万元。</w:t>
      </w:r>
      <w:r>
        <w:rPr>
          <w:rFonts w:ascii="仿宋_GB2312" w:hAnsi="仿宋_GB2312" w:eastAsia="仿宋_GB2312"/>
          <w:b/>
          <w:sz w:val="32"/>
        </w:rPr>
        <w:t>政府性基金预算财政拨款支出总计15,295.75万元，</w:t>
      </w:r>
      <w:r>
        <w:rPr>
          <w:rFonts w:ascii="仿宋_GB2312" w:hAnsi="仿宋_GB2312" w:eastAsia="仿宋_GB2312"/>
          <w:b w:val="0"/>
          <w:sz w:val="32"/>
        </w:rPr>
        <w:t>其中：年末结转和结余0.00万元，本年支出15,295.75万元。</w:t>
      </w:r>
    </w:p>
    <w:p w14:paraId="3792DAF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12,789.25万元，下降45.54%，主要原因是：本年度减少岳普湖县生活垃圾处理建设项目、岳普湖县2015年城市棚改小区配套基础设施建设项目、岳普湖县2014年城市棚改小区配套基础设施建设项目、岳普湖县2016年城市棚改小区配套基础设施建设项目、岳普湖县城区老旧供热管网改造工程项目。</w:t>
      </w:r>
      <w:r>
        <w:rPr>
          <w:rFonts w:ascii="仿宋_GB2312" w:hAnsi="仿宋_GB2312" w:eastAsia="仿宋_GB2312"/>
          <w:b/>
          <w:sz w:val="32"/>
        </w:rPr>
        <w:t>与年初预算相比，</w:t>
      </w:r>
      <w:r>
        <w:rPr>
          <w:rFonts w:ascii="仿宋_GB2312" w:hAnsi="仿宋_GB2312" w:eastAsia="仿宋_GB2312"/>
          <w:b w:val="0"/>
          <w:sz w:val="32"/>
        </w:rPr>
        <w:t>年初预算数0.00万元，决算数15,295.75万元，预决算差异率100.00%，主要原因是：年中追加岳普湖县城绿化使用中水费用、2021年农村危房改造补助资金项目、喀什地区岳普湖县2020年公共租赁住房建设项目、喀什地区岳普湖县美丽乡村沙枣长廊观光带建设项目、岳普湖县2022年公共租赁住房建设项目、岳普湖县2021年公共租赁住房建设项目，导致预决算存在差异。</w:t>
      </w:r>
    </w:p>
    <w:p w14:paraId="729D682A">
      <w:pPr>
        <w:spacing w:line="580" w:lineRule="exact"/>
        <w:ind w:firstLine="640"/>
        <w:jc w:val="both"/>
      </w:pPr>
      <w:r>
        <w:rPr>
          <w:rFonts w:ascii="仿宋_GB2312" w:hAnsi="仿宋_GB2312" w:eastAsia="仿宋_GB2312"/>
          <w:b w:val="0"/>
          <w:sz w:val="32"/>
        </w:rPr>
        <w:t>政府性基金预算财政拨款支出15,295.75万元。</w:t>
      </w:r>
    </w:p>
    <w:p w14:paraId="1A067F4D">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1.城乡社区支出(类)国有土地使用权出让收入安排的支出(款)农村基础设施建设支出(项):支出决算数为97.73万元，比上年决算增加97.73万元，增长100.00%,主要原因是：本年增加2021年农村危房改造补助资金项目。</w:t>
      </w:r>
    </w:p>
    <w:p w14:paraId="00274346">
      <w:pPr>
        <w:spacing w:line="580" w:lineRule="exact"/>
        <w:ind w:firstLine="640"/>
        <w:jc w:val="both"/>
      </w:pPr>
      <w:r>
        <w:rPr>
          <w:rFonts w:ascii="仿宋_GB2312" w:hAnsi="仿宋_GB2312" w:eastAsia="仿宋_GB2312"/>
          <w:b w:val="0"/>
          <w:sz w:val="32"/>
        </w:rPr>
        <w:t>2.城乡社区支出(类)污水处理费安排的支出(款)其他污水处理费安排的支出(项):支出决算数为655.37万元，比上年决算增加655.37万元，增长100.00%,主要原因是：本年增加岳普湖县城绿化使用中水费用。</w:t>
      </w:r>
    </w:p>
    <w:p w14:paraId="42002D25">
      <w:pPr>
        <w:spacing w:line="580" w:lineRule="exact"/>
        <w:ind w:firstLine="640"/>
        <w:jc w:val="both"/>
      </w:pPr>
      <w:r>
        <w:rPr>
          <w:rFonts w:ascii="仿宋_GB2312" w:hAnsi="仿宋_GB2312" w:eastAsia="仿宋_GB2312"/>
          <w:b w:val="0"/>
          <w:sz w:val="32"/>
        </w:rPr>
        <w:t>3.城乡社区支出(类)棚户区改造专项债券收入安排的支出(款)其他棚户区改造专项债券收入安排的支出(项):支出决算数为0.00万元，比上年决算减少10,000.00万元，下降100.00%,主要原因是：本年减少岳普湖县棚户区改造安置小区建设项目。</w:t>
      </w:r>
    </w:p>
    <w:p w14:paraId="76A71819">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城市建设支出(项):支出决算数为0.00万元，比上年决算减少1,177.00万元，下降100.00%,主要原因是：本年减少岳普湖县生活垃圾处理建设项目。</w:t>
      </w:r>
    </w:p>
    <w:p w14:paraId="03501C16">
      <w:pPr>
        <w:spacing w:line="580" w:lineRule="exact"/>
        <w:ind w:firstLine="640"/>
        <w:jc w:val="both"/>
      </w:pPr>
      <w:r>
        <w:rPr>
          <w:rFonts w:ascii="仿宋_GB2312" w:hAnsi="仿宋_GB2312" w:eastAsia="仿宋_GB2312"/>
          <w:b w:val="0"/>
          <w:sz w:val="32"/>
        </w:rPr>
        <w:t>5.城乡社区支出(类)国有土地使用权出让收入对应专项债务收入安排的支出(款)棚户区改造支出(项):支出决算数为0.00万元，比上年决算减少6,908.00万元，下降100.00%,主要原因是：本年减少城市棚改小区配套基础设施建设项目。</w:t>
      </w:r>
    </w:p>
    <w:p w14:paraId="2C9C4DEB">
      <w:pPr>
        <w:spacing w:line="580" w:lineRule="exact"/>
        <w:ind w:firstLine="640"/>
        <w:jc w:val="both"/>
      </w:pPr>
      <w:r>
        <w:rPr>
          <w:rFonts w:ascii="仿宋_GB2312" w:hAnsi="仿宋_GB2312" w:eastAsia="仿宋_GB2312"/>
          <w:b w:val="0"/>
          <w:sz w:val="32"/>
        </w:rPr>
        <w:t>6.城乡社区支出(类)超长期特别国债安排的支出(款)城乡社区公共设施(项):支出决算数为2,521.86万元，比上年决算增加2,521.86万元，增长100.00%,主要原因是：本年新增喀什地区岳普湖县城市地下管网建设项目。</w:t>
      </w:r>
    </w:p>
    <w:p w14:paraId="2A6DD6D8">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12,020.79万元，比上年决算增加2,020.79万元，增长20.21%,主要原因是：本年新增喀什地区岳普湖县2020年公共租赁住房建设项目、 喀什地区岳普湖县美丽乡村沙枣长廊观光带建设项目、 岳普湖县2022年公共租赁住房建设项目、 岳普湖县2021年公共租赁住房建设项目。</w:t>
      </w:r>
    </w:p>
    <w:p w14:paraId="3BD54B7E">
      <w:pPr>
        <w:spacing w:line="640" w:lineRule="exact"/>
        <w:ind w:firstLine="640"/>
        <w:jc w:val="both"/>
        <w:outlineLvl w:val="2"/>
      </w:pPr>
      <w:r>
        <w:rPr>
          <w:rFonts w:ascii="黑体" w:hAnsi="黑体" w:eastAsia="黑体"/>
          <w:sz w:val="32"/>
        </w:rPr>
        <w:t>八、国有资本经营预算财政拨款收入支出决算情况说明</w:t>
      </w:r>
    </w:p>
    <w:p w14:paraId="495BC83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029C40">
      <w:pPr>
        <w:spacing w:line="640" w:lineRule="exact"/>
        <w:ind w:firstLine="640"/>
        <w:jc w:val="both"/>
        <w:outlineLvl w:val="2"/>
      </w:pPr>
      <w:r>
        <w:rPr>
          <w:rFonts w:ascii="黑体" w:hAnsi="黑体" w:eastAsia="黑体"/>
          <w:sz w:val="32"/>
        </w:rPr>
        <w:t>九、财政拨款“三公”经费支出决算情况说明</w:t>
      </w:r>
    </w:p>
    <w:p w14:paraId="4564AC23">
      <w:pPr>
        <w:spacing w:line="580" w:lineRule="exact"/>
        <w:ind w:firstLine="640"/>
        <w:jc w:val="both"/>
      </w:pPr>
      <w:r>
        <w:rPr>
          <w:rFonts w:ascii="仿宋_GB2312" w:hAnsi="仿宋_GB2312" w:eastAsia="仿宋_GB2312"/>
          <w:b/>
          <w:sz w:val="32"/>
        </w:rPr>
        <w:t>2024年度财政拨款“三公”经费支出8.39万元，</w:t>
      </w:r>
      <w:r>
        <w:rPr>
          <w:rFonts w:ascii="仿宋_GB2312" w:hAnsi="仿宋_GB2312" w:eastAsia="仿宋_GB2312"/>
          <w:b w:val="0"/>
          <w:sz w:val="32"/>
        </w:rPr>
        <w:t>比上年增加0.39万元，增长4.88%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8.39万元，占100.00%，比上年增加0.39万元，增长4.88%，主要原因是：本单位公务用车日渐老化，维修维护成本增加，导致公务用车运行维护费较上年增加。公务接待费支出0.00万元，占0.00%，比上年增加0.00万元，增长0.00%，主要原因是：2023年与2024年均未安排公务接待费支出。</w:t>
      </w:r>
    </w:p>
    <w:p w14:paraId="26792D15">
      <w:pPr>
        <w:spacing w:line="580" w:lineRule="exact"/>
        <w:ind w:firstLine="640"/>
        <w:jc w:val="both"/>
      </w:pPr>
      <w:r>
        <w:rPr>
          <w:rFonts w:ascii="仿宋_GB2312" w:hAnsi="仿宋_GB2312" w:eastAsia="仿宋_GB2312"/>
          <w:b/>
          <w:sz w:val="32"/>
        </w:rPr>
        <w:t>具体情况如下：</w:t>
      </w:r>
    </w:p>
    <w:p w14:paraId="14796A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E018A0">
      <w:pPr>
        <w:spacing w:line="580" w:lineRule="exact"/>
        <w:ind w:firstLine="640"/>
        <w:jc w:val="both"/>
      </w:pPr>
      <w:r>
        <w:rPr>
          <w:rFonts w:ascii="仿宋_GB2312" w:hAnsi="仿宋_GB2312" w:eastAsia="仿宋_GB2312"/>
          <w:b w:val="0"/>
          <w:sz w:val="32"/>
        </w:rPr>
        <w:t>公务用车购置及运行维护费8.39万元，其中：公务用车购置费0.00万元，公务用车运行维护费8.39万元。公务用车运行维护费开支内容包括车辆加油费、维修费、保险费、审车费、过路费等。公务用车购置数0辆，公务用车保有量8辆。国有资产占用情况中固定资产车辆24辆，与公务用车保有量差异原因是：差异车辆为一般业务用车，预算未安排公务用车运行维护费。</w:t>
      </w:r>
    </w:p>
    <w:p w14:paraId="2D5C5A1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8EEDF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8.39万元，决算数8.39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8.39万元，决算数8.39万元，预决算差异率0.00%，主要原因是：严格按照预算执行，预决算无差异。公务接待费全年预算数0.00万元，决算数0.00万元，预决算差异率0.00%，主要原因是：本单位无公务接待费。</w:t>
      </w:r>
    </w:p>
    <w:p w14:paraId="7C380127">
      <w:pPr>
        <w:spacing w:line="640" w:lineRule="exact"/>
        <w:ind w:firstLine="640"/>
        <w:jc w:val="both"/>
        <w:outlineLvl w:val="2"/>
      </w:pPr>
      <w:r>
        <w:rPr>
          <w:rFonts w:ascii="黑体" w:hAnsi="黑体" w:eastAsia="黑体"/>
          <w:sz w:val="32"/>
        </w:rPr>
        <w:t>十、其他重要事项的情况说明</w:t>
      </w:r>
    </w:p>
    <w:p w14:paraId="486A4B9F">
      <w:pPr>
        <w:spacing w:line="640" w:lineRule="exact"/>
        <w:ind w:firstLine="640"/>
        <w:jc w:val="both"/>
        <w:outlineLvl w:val="3"/>
      </w:pPr>
      <w:r>
        <w:rPr>
          <w:rFonts w:ascii="楷体_GB2312" w:hAnsi="楷体_GB2312" w:eastAsia="楷体_GB2312"/>
          <w:b/>
          <w:sz w:val="32"/>
        </w:rPr>
        <w:t>（一）机关运行经费及公用经费支出情况</w:t>
      </w:r>
    </w:p>
    <w:p w14:paraId="24050DC7">
      <w:pPr>
        <w:spacing w:line="580" w:lineRule="exact"/>
        <w:ind w:firstLine="640"/>
        <w:jc w:val="both"/>
      </w:pPr>
      <w:r>
        <w:rPr>
          <w:rFonts w:ascii="仿宋_GB2312" w:hAnsi="仿宋_GB2312" w:eastAsia="仿宋_GB2312"/>
          <w:b w:val="0"/>
          <w:sz w:val="32"/>
        </w:rPr>
        <w:t>2024年度岳普湖县住房和城乡建设局（行政单位和参照公务员法管理事业单位）机关运行经费支出31.86万元，比上年增加3.43万元，增长12.06%，主要原因是：本年更新、维护补充办公用品，导致机关运行经费较上年增加。</w:t>
      </w:r>
    </w:p>
    <w:p w14:paraId="4123D650">
      <w:pPr>
        <w:spacing w:line="640" w:lineRule="exact"/>
        <w:ind w:firstLine="640"/>
        <w:jc w:val="both"/>
        <w:outlineLvl w:val="3"/>
      </w:pPr>
      <w:r>
        <w:rPr>
          <w:rFonts w:ascii="楷体_GB2312" w:hAnsi="楷体_GB2312" w:eastAsia="楷体_GB2312"/>
          <w:b/>
          <w:sz w:val="32"/>
        </w:rPr>
        <w:t>（二）政府采购情况</w:t>
      </w:r>
    </w:p>
    <w:p w14:paraId="20B178BD">
      <w:pPr>
        <w:spacing w:line="580" w:lineRule="exact"/>
        <w:ind w:firstLine="640"/>
        <w:jc w:val="both"/>
      </w:pPr>
      <w:r>
        <w:rPr>
          <w:rFonts w:ascii="仿宋_GB2312" w:hAnsi="仿宋_GB2312" w:eastAsia="仿宋_GB2312"/>
          <w:b w:val="0"/>
          <w:sz w:val="32"/>
        </w:rPr>
        <w:t>2024年度政府采购支出总额4,876.38万元，其中：政府采购货物支出5.22万元、政府采购工程支出0.00万元、政府采购服务支出4,871.16万元。</w:t>
      </w:r>
    </w:p>
    <w:p w14:paraId="63C0090B">
      <w:pPr>
        <w:spacing w:line="580" w:lineRule="exact"/>
        <w:ind w:firstLine="640"/>
        <w:jc w:val="both"/>
      </w:pPr>
      <w:r>
        <w:rPr>
          <w:rFonts w:ascii="仿宋_GB2312" w:hAnsi="仿宋_GB2312" w:eastAsia="仿宋_GB2312"/>
          <w:b w:val="0"/>
          <w:sz w:val="32"/>
        </w:rPr>
        <w:t>授予中小企业合同金额4,876.38万元，占政府采购支出总额的100.00%，其中：授予小微企业合同金额3,543.88万元，占政府采购支出总额的72.67%。</w:t>
      </w:r>
    </w:p>
    <w:p w14:paraId="75E133DB">
      <w:pPr>
        <w:spacing w:line="640" w:lineRule="exact"/>
        <w:ind w:firstLine="640"/>
        <w:jc w:val="both"/>
        <w:outlineLvl w:val="3"/>
      </w:pPr>
      <w:r>
        <w:rPr>
          <w:rFonts w:ascii="楷体_GB2312" w:hAnsi="楷体_GB2312" w:eastAsia="楷体_GB2312"/>
          <w:b/>
          <w:sz w:val="32"/>
        </w:rPr>
        <w:t>（三）国有资产占用情况说明</w:t>
      </w:r>
    </w:p>
    <w:p w14:paraId="08852694">
      <w:pPr>
        <w:spacing w:line="580" w:lineRule="exact"/>
        <w:ind w:firstLine="640"/>
        <w:jc w:val="both"/>
      </w:pPr>
      <w:r>
        <w:rPr>
          <w:rFonts w:ascii="仿宋_GB2312" w:hAnsi="仿宋_GB2312" w:eastAsia="仿宋_GB2312"/>
          <w:b w:val="0"/>
          <w:sz w:val="32"/>
        </w:rPr>
        <w:t>截至2024年12月31日，房屋0.00平方米，价值0.00万元。车辆24辆，价值615.55万元，其中：副部（省）级及以上领导用车0辆、主要负责人用车0辆、机要通信用车0辆、应急保障用车0辆、执法执勤用车0辆、特种专业技术用车16辆、离退休干部服务用车0辆、其他用车8辆，其他用车主要是：一般公务用车。单价100万元（含）以上设备（不含车辆）1台（套）。</w:t>
      </w:r>
    </w:p>
    <w:p w14:paraId="695BF32F">
      <w:pPr>
        <w:spacing w:line="640" w:lineRule="exact"/>
        <w:ind w:firstLine="640"/>
        <w:jc w:val="both"/>
        <w:outlineLvl w:val="2"/>
      </w:pPr>
      <w:r>
        <w:rPr>
          <w:rFonts w:ascii="黑体" w:hAnsi="黑体" w:eastAsia="黑体"/>
          <w:sz w:val="32"/>
        </w:rPr>
        <w:t>十一、预算绩效的情况说明</w:t>
      </w:r>
    </w:p>
    <w:p w14:paraId="1FC677F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43,713.37万元，实际执行总额43,713.37万元；预算绩效评价项目14个，全年预算数23,964.59万元，全年执行数22,229.39万元。预算绩效管理取得的成效：一是预算绩效管理制度建设不断完善；二是围绕建立“全方位、全过程、全覆盖”的预算绩效管理体系目标，强化制度设计；三是建立健全制度办法和工作机制，涵盖事前绩效评估、绩效目标管理、绩效运行监控、绩效评价及结果应用等各环节，为推动预算绩效管理工作奠定了坚实的制度基础。发现的问题及原因：一是过于重视项目短期行为，部分业务人员绩效管理意识有待增强，未能全面深入认识理解绩效管理工作的意义。绩效管理经验不足，预算绩效管理工作有待进一步落实；二是绩效指标的明确性、可衡量性、相关性还需进一步提升；三是预算精细化管理还需完善，预算编制管理水平仍有进一步提升的空间；四是缺少带着问题去评价的意识，后续效益评</w:t>
      </w:r>
      <w:r>
        <w:rPr>
          <w:rFonts w:hint="eastAsia" w:ascii="仿宋_GB2312" w:hAnsi="仿宋_GB2312" w:eastAsia="仿宋_GB2312"/>
          <w:b w:val="0"/>
          <w:sz w:val="32"/>
          <w:lang w:eastAsia="zh-CN"/>
        </w:rPr>
        <w:t>价的</w:t>
      </w:r>
      <w:r>
        <w:rPr>
          <w:rFonts w:ascii="仿宋_GB2312" w:hAnsi="仿宋_GB2312" w:eastAsia="仿宋_GB2312"/>
          <w:b w:val="0"/>
          <w:sz w:val="32"/>
        </w:rPr>
        <w:t>具体措施和方法不足。下一步改进措施：一是加大绩效工作宣传力度，强化绩效理念；二是完善绩效指标，依据对部门工作任务的分解形成工作活动层面的绩效目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3ABC9E3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1367DE">
        <w:tblPrEx>
          <w:tblCellMar>
            <w:top w:w="0" w:type="dxa"/>
            <w:left w:w="108" w:type="dxa"/>
            <w:bottom w:w="0" w:type="dxa"/>
            <w:right w:w="108" w:type="dxa"/>
          </w:tblCellMar>
        </w:tblPrEx>
        <w:tc>
          <w:tcPr>
            <w:tcW w:w="8847" w:type="dxa"/>
            <w:gridSpan w:val="9"/>
            <w:vAlign w:val="center"/>
          </w:tcPr>
          <w:p w14:paraId="04A2BBA4">
            <w:pPr>
              <w:jc w:val="center"/>
            </w:pPr>
            <w:r>
              <w:rPr>
                <w:rFonts w:ascii="宋体" w:hAnsi="宋体" w:eastAsia="宋体"/>
                <w:sz w:val="24"/>
              </w:rPr>
              <w:t>单位整体支出绩效自评表</w:t>
            </w:r>
          </w:p>
        </w:tc>
      </w:tr>
      <w:tr w14:paraId="135ABAD4">
        <w:tblPrEx>
          <w:tblCellMar>
            <w:top w:w="0" w:type="dxa"/>
            <w:left w:w="108" w:type="dxa"/>
            <w:bottom w:w="0" w:type="dxa"/>
            <w:right w:w="108" w:type="dxa"/>
          </w:tblCellMar>
        </w:tblPrEx>
        <w:tc>
          <w:tcPr>
            <w:tcW w:w="8847" w:type="dxa"/>
            <w:gridSpan w:val="9"/>
            <w:vAlign w:val="center"/>
          </w:tcPr>
          <w:p w14:paraId="59104A0D">
            <w:pPr>
              <w:jc w:val="center"/>
            </w:pPr>
            <w:r>
              <w:rPr>
                <w:rFonts w:ascii="宋体" w:hAnsi="宋体" w:eastAsia="宋体"/>
                <w:sz w:val="24"/>
              </w:rPr>
              <w:t>（2024年度）</w:t>
            </w:r>
          </w:p>
        </w:tc>
      </w:tr>
      <w:tr w14:paraId="74264F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9B9D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119AFE3">
            <w:pPr>
              <w:jc w:val="center"/>
            </w:pPr>
            <w:r>
              <w:rPr>
                <w:rFonts w:ascii="宋体" w:hAnsi="宋体" w:eastAsia="宋体"/>
                <w:sz w:val="16"/>
              </w:rPr>
              <w:t>岳普湖县住房和城乡建设局</w:t>
            </w:r>
          </w:p>
        </w:tc>
      </w:tr>
      <w:tr w14:paraId="00B1B4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4591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119D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662C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5FC5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FCCA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13BD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6C77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F2A7">
            <w:pPr>
              <w:jc w:val="center"/>
            </w:pPr>
            <w:r>
              <w:rPr>
                <w:rFonts w:ascii="宋体" w:hAnsi="宋体" w:eastAsia="宋体"/>
                <w:sz w:val="16"/>
              </w:rPr>
              <w:t>得分</w:t>
            </w:r>
          </w:p>
        </w:tc>
      </w:tr>
      <w:tr w14:paraId="01BC99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4EF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3C69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27519">
            <w:pPr>
              <w:jc w:val="center"/>
            </w:pPr>
            <w:r>
              <w:rPr>
                <w:rFonts w:ascii="宋体" w:hAnsi="宋体" w:eastAsia="宋体"/>
                <w:sz w:val="16"/>
              </w:rPr>
              <w:t>9,664.17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E031B">
            <w:pPr>
              <w:jc w:val="center"/>
            </w:pPr>
            <w:r>
              <w:rPr>
                <w:rFonts w:ascii="宋体" w:hAnsi="宋体" w:eastAsia="宋体"/>
                <w:sz w:val="16"/>
              </w:rPr>
              <w:t>43,713.37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B1D1B">
            <w:pPr>
              <w:jc w:val="center"/>
            </w:pPr>
            <w:r>
              <w:rPr>
                <w:rFonts w:ascii="宋体" w:hAnsi="宋体" w:eastAsia="宋体"/>
                <w:sz w:val="16"/>
              </w:rPr>
              <w:t>43,713.37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8F8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11EC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DE7DA">
            <w:pPr>
              <w:jc w:val="center"/>
            </w:pPr>
            <w:r>
              <w:rPr>
                <w:rFonts w:ascii="宋体" w:hAnsi="宋体" w:eastAsia="宋体"/>
                <w:sz w:val="16"/>
              </w:rPr>
              <w:t>10</w:t>
            </w:r>
          </w:p>
        </w:tc>
      </w:tr>
      <w:tr w14:paraId="7220E0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EE3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C851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DA93D">
            <w:pPr>
              <w:jc w:val="center"/>
            </w:pPr>
            <w:r>
              <w:rPr>
                <w:rFonts w:ascii="宋体" w:hAnsi="宋体" w:eastAsia="宋体"/>
                <w:sz w:val="16"/>
              </w:rPr>
              <w:t>6,449.65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0CBE4">
            <w:pPr>
              <w:jc w:val="center"/>
            </w:pPr>
            <w:r>
              <w:rPr>
                <w:rFonts w:ascii="宋体" w:hAnsi="宋体" w:eastAsia="宋体"/>
                <w:sz w:val="16"/>
              </w:rPr>
              <w:t>21,122.70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53704">
            <w:pPr>
              <w:jc w:val="center"/>
            </w:pPr>
            <w:r>
              <w:rPr>
                <w:rFonts w:ascii="宋体" w:hAnsi="宋体" w:eastAsia="宋体"/>
                <w:sz w:val="16"/>
              </w:rPr>
              <w:t>21,122.70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82C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AC91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012AB">
            <w:pPr>
              <w:jc w:val="center"/>
            </w:pPr>
            <w:r>
              <w:rPr>
                <w:rFonts w:ascii="宋体" w:hAnsi="宋体" w:eastAsia="宋体"/>
                <w:sz w:val="16"/>
              </w:rPr>
              <w:t>—</w:t>
            </w:r>
          </w:p>
        </w:tc>
      </w:tr>
      <w:tr w14:paraId="01644F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3E2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FBDB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2C5EE">
            <w:pPr>
              <w:jc w:val="center"/>
            </w:pPr>
            <w:r>
              <w:rPr>
                <w:rFonts w:ascii="宋体" w:hAnsi="宋体" w:eastAsia="宋体"/>
                <w:sz w:val="16"/>
              </w:rPr>
              <w:t>3,214.52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3660C">
            <w:pPr>
              <w:jc w:val="center"/>
            </w:pPr>
            <w:r>
              <w:rPr>
                <w:rFonts w:ascii="宋体" w:hAnsi="宋体" w:eastAsia="宋体"/>
                <w:sz w:val="16"/>
              </w:rPr>
              <w:t>18,360.94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930FF">
            <w:pPr>
              <w:jc w:val="center"/>
            </w:pPr>
            <w:r>
              <w:rPr>
                <w:rFonts w:ascii="宋体" w:hAnsi="宋体" w:eastAsia="宋体"/>
                <w:sz w:val="16"/>
              </w:rPr>
              <w:t>18,360.94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404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C677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00790">
            <w:pPr>
              <w:jc w:val="center"/>
            </w:pPr>
            <w:r>
              <w:rPr>
                <w:rFonts w:ascii="宋体" w:hAnsi="宋体" w:eastAsia="宋体"/>
                <w:sz w:val="16"/>
              </w:rPr>
              <w:t>—</w:t>
            </w:r>
          </w:p>
        </w:tc>
      </w:tr>
      <w:tr w14:paraId="72928D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CBD1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88D0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97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7D237">
            <w:pPr>
              <w:jc w:val="center"/>
            </w:pPr>
            <w:r>
              <w:rPr>
                <w:rFonts w:ascii="宋体" w:hAnsi="宋体" w:eastAsia="宋体"/>
                <w:sz w:val="16"/>
              </w:rPr>
              <w:t>4,229.73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2A514">
            <w:pPr>
              <w:jc w:val="center"/>
            </w:pPr>
            <w:r>
              <w:rPr>
                <w:rFonts w:ascii="宋体" w:hAnsi="宋体" w:eastAsia="宋体"/>
                <w:sz w:val="16"/>
              </w:rPr>
              <w:t>4,229.73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FFF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C655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74F0C">
            <w:pPr>
              <w:jc w:val="center"/>
            </w:pPr>
            <w:r>
              <w:rPr>
                <w:rFonts w:ascii="宋体" w:hAnsi="宋体" w:eastAsia="宋体"/>
                <w:sz w:val="16"/>
              </w:rPr>
              <w:t>—</w:t>
            </w:r>
          </w:p>
        </w:tc>
      </w:tr>
      <w:tr w14:paraId="4AE7487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6660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C0474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BEB514">
            <w:pPr>
              <w:jc w:val="center"/>
            </w:pPr>
            <w:r>
              <w:rPr>
                <w:rFonts w:ascii="宋体" w:hAnsi="宋体" w:eastAsia="宋体"/>
                <w:sz w:val="16"/>
              </w:rPr>
              <w:t>实际完成情况</w:t>
            </w:r>
          </w:p>
        </w:tc>
      </w:tr>
      <w:tr w14:paraId="5C05FF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0407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BC0C68">
            <w:pPr>
              <w:jc w:val="both"/>
            </w:pPr>
            <w:r>
              <w:rPr>
                <w:rFonts w:ascii="宋体" w:hAnsi="宋体" w:eastAsia="宋体"/>
                <w:sz w:val="16"/>
              </w:rPr>
              <w:t>完成35户抗震防灾户改造项目、13户农村危房改造项目的任务。保障岳普湖县建筑市场监管工作的全面覆盖，加强市容市貌的整治工作。加大县域生活垃圾的治理力度，完善生活垃圾收运处置体系。改善人居居住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2F8F38">
            <w:pPr>
              <w:jc w:val="both"/>
            </w:pPr>
            <w:r>
              <w:rPr>
                <w:rFonts w:ascii="宋体" w:hAnsi="宋体" w:eastAsia="宋体"/>
                <w:sz w:val="16"/>
              </w:rPr>
              <w:t>已完成了35户抗震防灾户的改造工作，以及13户农村危房的改造任务。为充分发挥单位的履职效能，确保岳普湖县建筑市场监管工作的全面覆盖。同时，加强市容市貌的整治工作，提升城市的整体形象。此外，加大对县域生活垃圾的治理力度，完善生活垃圾的收运处置体系，从而有效地改善居民的居住环境。</w:t>
            </w:r>
          </w:p>
        </w:tc>
      </w:tr>
      <w:tr w14:paraId="77DE20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9D03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569C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BA4E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588B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9301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FD2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2AF5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C25E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1C398">
            <w:pPr>
              <w:jc w:val="center"/>
            </w:pPr>
            <w:r>
              <w:rPr>
                <w:rFonts w:ascii="宋体" w:hAnsi="宋体" w:eastAsia="宋体"/>
                <w:sz w:val="16"/>
              </w:rPr>
              <w:t>得分</w:t>
            </w:r>
          </w:p>
        </w:tc>
      </w:tr>
      <w:tr w14:paraId="4ABE08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066F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5BEE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E41D3">
            <w:pPr>
              <w:jc w:val="center"/>
            </w:pPr>
            <w:r>
              <w:rPr>
                <w:rFonts w:ascii="宋体" w:hAnsi="宋体" w:eastAsia="宋体"/>
                <w:sz w:val="16"/>
              </w:rPr>
              <w:t>抗震防灾房改造户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035AC">
            <w:pPr>
              <w:jc w:val="center"/>
            </w:pPr>
            <w:r>
              <w:rPr>
                <w:rFonts w:ascii="宋体" w:hAnsi="宋体" w:eastAsia="宋体"/>
                <w:sz w:val="16"/>
              </w:rPr>
              <w:t>&gt;=35户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850A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9685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D7F92">
            <w:pPr>
              <w:jc w:val="center"/>
            </w:pPr>
            <w:r>
              <w:rPr>
                <w:rFonts w:ascii="宋体" w:hAnsi="宋体" w:eastAsia="宋体"/>
                <w:sz w:val="16"/>
              </w:rPr>
              <w:t>35户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7C6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140B0">
            <w:pPr>
              <w:jc w:val="center"/>
            </w:pPr>
            <w:r>
              <w:rPr>
                <w:rFonts w:ascii="宋体" w:hAnsi="宋体" w:eastAsia="宋体"/>
                <w:sz w:val="16"/>
              </w:rPr>
              <w:t>18</w:t>
            </w:r>
          </w:p>
        </w:tc>
      </w:tr>
      <w:tr w14:paraId="39D292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FB4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44F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EA062">
            <w:pPr>
              <w:jc w:val="center"/>
            </w:pPr>
            <w:r>
              <w:rPr>
                <w:rFonts w:ascii="宋体" w:hAnsi="宋体" w:eastAsia="宋体"/>
                <w:sz w:val="16"/>
              </w:rPr>
              <w:t>农村危房改造户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DCE97">
            <w:pPr>
              <w:jc w:val="center"/>
            </w:pPr>
            <w:r>
              <w:rPr>
                <w:rFonts w:ascii="宋体" w:hAnsi="宋体" w:eastAsia="宋体"/>
                <w:sz w:val="16"/>
              </w:rPr>
              <w:t>&gt;=13户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3552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E54F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670C4">
            <w:pPr>
              <w:jc w:val="center"/>
            </w:pPr>
            <w:r>
              <w:rPr>
                <w:rFonts w:ascii="宋体" w:hAnsi="宋体" w:eastAsia="宋体"/>
                <w:sz w:val="16"/>
              </w:rPr>
              <w:t>13户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468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91991">
            <w:pPr>
              <w:jc w:val="center"/>
            </w:pPr>
            <w:r>
              <w:rPr>
                <w:rFonts w:ascii="宋体" w:hAnsi="宋体" w:eastAsia="宋体"/>
                <w:sz w:val="16"/>
              </w:rPr>
              <w:t>18</w:t>
            </w:r>
          </w:p>
        </w:tc>
      </w:tr>
      <w:tr w14:paraId="76F2E1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D726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4D24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1B397">
            <w:pPr>
              <w:jc w:val="center"/>
            </w:pPr>
            <w:r>
              <w:rPr>
                <w:rFonts w:ascii="宋体" w:hAnsi="宋体" w:eastAsia="宋体"/>
                <w:sz w:val="16"/>
              </w:rPr>
              <w:t>建筑市场监管全面覆盖率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B1C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4669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2E01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95A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C8D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7A954">
            <w:pPr>
              <w:jc w:val="center"/>
            </w:pPr>
            <w:r>
              <w:rPr>
                <w:rFonts w:ascii="宋体" w:hAnsi="宋体" w:eastAsia="宋体"/>
                <w:sz w:val="16"/>
              </w:rPr>
              <w:t>18</w:t>
            </w:r>
          </w:p>
        </w:tc>
      </w:tr>
      <w:tr w14:paraId="3C0BC7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25D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319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402A">
            <w:pPr>
              <w:jc w:val="center"/>
            </w:pPr>
            <w:r>
              <w:rPr>
                <w:rFonts w:ascii="宋体" w:hAnsi="宋体" w:eastAsia="宋体"/>
                <w:sz w:val="16"/>
              </w:rPr>
              <w:t>市容市貌整治工作覆盖率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813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B0D2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BCDF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B62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0BB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C060E">
            <w:pPr>
              <w:jc w:val="center"/>
            </w:pPr>
            <w:r>
              <w:rPr>
                <w:rFonts w:ascii="宋体" w:hAnsi="宋体" w:eastAsia="宋体"/>
                <w:sz w:val="16"/>
              </w:rPr>
              <w:t>18</w:t>
            </w:r>
          </w:p>
        </w:tc>
      </w:tr>
      <w:tr w14:paraId="796A13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DD3D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E89C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51498">
            <w:pPr>
              <w:jc w:val="center"/>
            </w:pPr>
            <w:r>
              <w:rPr>
                <w:rFonts w:ascii="宋体" w:hAnsi="宋体" w:eastAsia="宋体"/>
                <w:sz w:val="16"/>
              </w:rPr>
              <w:t>抗震防灾房改造完成及时率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7A0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64D7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7711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57F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B94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F5C08">
            <w:pPr>
              <w:jc w:val="center"/>
            </w:pPr>
            <w:r>
              <w:rPr>
                <w:rFonts w:ascii="宋体" w:hAnsi="宋体" w:eastAsia="宋体"/>
                <w:sz w:val="16"/>
              </w:rPr>
              <w:t>18</w:t>
            </w:r>
          </w:p>
        </w:tc>
      </w:tr>
    </w:tbl>
    <w:p w14:paraId="0752C2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DA06EF3">
        <w:tblPrEx>
          <w:tblCellMar>
            <w:top w:w="0" w:type="dxa"/>
            <w:left w:w="108" w:type="dxa"/>
            <w:bottom w:w="0" w:type="dxa"/>
            <w:right w:w="108" w:type="dxa"/>
          </w:tblCellMar>
        </w:tblPrEx>
        <w:tc>
          <w:tcPr>
            <w:tcW w:w="8848" w:type="dxa"/>
            <w:gridSpan w:val="14"/>
            <w:vAlign w:val="center"/>
          </w:tcPr>
          <w:p w14:paraId="2C2C8135">
            <w:pPr>
              <w:jc w:val="center"/>
            </w:pPr>
            <w:r>
              <w:rPr>
                <w:rFonts w:ascii="宋体" w:hAnsi="宋体" w:eastAsia="宋体"/>
                <w:sz w:val="24"/>
              </w:rPr>
              <w:t>项目支出绩效自评表</w:t>
            </w:r>
          </w:p>
        </w:tc>
      </w:tr>
      <w:tr w14:paraId="30AE0CCF">
        <w:tblPrEx>
          <w:tblCellMar>
            <w:top w:w="0" w:type="dxa"/>
            <w:left w:w="108" w:type="dxa"/>
            <w:bottom w:w="0" w:type="dxa"/>
            <w:right w:w="108" w:type="dxa"/>
          </w:tblCellMar>
        </w:tblPrEx>
        <w:tc>
          <w:tcPr>
            <w:tcW w:w="8848" w:type="dxa"/>
            <w:gridSpan w:val="14"/>
            <w:vAlign w:val="center"/>
          </w:tcPr>
          <w:p w14:paraId="5CBF75A6">
            <w:pPr>
              <w:jc w:val="center"/>
            </w:pPr>
            <w:r>
              <w:rPr>
                <w:rFonts w:ascii="宋体" w:hAnsi="宋体" w:eastAsia="宋体"/>
                <w:sz w:val="24"/>
              </w:rPr>
              <w:t>(2024年度)</w:t>
            </w:r>
          </w:p>
        </w:tc>
      </w:tr>
      <w:tr w14:paraId="025846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CA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594B33">
            <w:pPr>
              <w:jc w:val="center"/>
            </w:pPr>
            <w:r>
              <w:rPr>
                <w:rFonts w:ascii="宋体" w:hAnsi="宋体" w:eastAsia="宋体"/>
                <w:sz w:val="16"/>
              </w:rPr>
              <w:t>2024年农村危房改造项目</w:t>
            </w:r>
          </w:p>
        </w:tc>
      </w:tr>
      <w:tr w14:paraId="59A30C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78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8469A">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46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0E696D">
            <w:pPr>
              <w:jc w:val="center"/>
            </w:pPr>
            <w:r>
              <w:rPr>
                <w:rFonts w:ascii="宋体" w:hAnsi="宋体" w:eastAsia="宋体"/>
                <w:sz w:val="16"/>
              </w:rPr>
              <w:t>岳普湖县住房和城乡建设局</w:t>
            </w:r>
          </w:p>
        </w:tc>
      </w:tr>
      <w:tr w14:paraId="459DE1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BE8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B09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5F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57E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56C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8B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B28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76A1">
            <w:pPr>
              <w:jc w:val="center"/>
            </w:pPr>
            <w:r>
              <w:rPr>
                <w:rFonts w:ascii="宋体" w:hAnsi="宋体" w:eastAsia="宋体"/>
                <w:sz w:val="16"/>
              </w:rPr>
              <w:t>得分</w:t>
            </w:r>
          </w:p>
        </w:tc>
      </w:tr>
      <w:tr w14:paraId="3CADB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67A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99B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700C1">
            <w:pPr>
              <w:jc w:val="center"/>
            </w:pPr>
            <w:r>
              <w:rPr>
                <w:rFonts w:ascii="宋体" w:hAnsi="宋体" w:eastAsia="宋体"/>
                <w:sz w:val="16"/>
              </w:rPr>
              <w:t>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0F32">
            <w:pPr>
              <w:jc w:val="center"/>
            </w:pPr>
            <w:r>
              <w:rPr>
                <w:rFonts w:ascii="宋体" w:hAnsi="宋体" w:eastAsia="宋体"/>
                <w:sz w:val="16"/>
              </w:rPr>
              <w:t>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E8C84">
            <w:pPr>
              <w:jc w:val="center"/>
            </w:pPr>
            <w:r>
              <w:rPr>
                <w:rFonts w:ascii="宋体" w:hAnsi="宋体" w:eastAsia="宋体"/>
                <w:sz w:val="16"/>
              </w:rPr>
              <w:t>26.78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D19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E7945">
            <w:pPr>
              <w:jc w:val="center"/>
            </w:pPr>
            <w:r>
              <w:rPr>
                <w:rFonts w:ascii="宋体" w:hAnsi="宋体" w:eastAsia="宋体"/>
                <w:sz w:val="16"/>
              </w:rPr>
              <w:t>61.90%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B4C3">
            <w:pPr>
              <w:jc w:val="center"/>
            </w:pPr>
            <w:r>
              <w:rPr>
                <w:rFonts w:ascii="宋体" w:hAnsi="宋体" w:eastAsia="宋体"/>
                <w:sz w:val="16"/>
              </w:rPr>
              <w:t>0.47分</w:t>
            </w:r>
          </w:p>
        </w:tc>
      </w:tr>
      <w:tr w14:paraId="29016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608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329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95AA1">
            <w:pPr>
              <w:jc w:val="center"/>
            </w:pPr>
            <w:r>
              <w:rPr>
                <w:rFonts w:ascii="宋体" w:hAnsi="宋体" w:eastAsia="宋体"/>
                <w:sz w:val="16"/>
              </w:rPr>
              <w:t>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DB01B">
            <w:pPr>
              <w:jc w:val="center"/>
            </w:pPr>
            <w:r>
              <w:rPr>
                <w:rFonts w:ascii="宋体" w:hAnsi="宋体" w:eastAsia="宋体"/>
                <w:sz w:val="16"/>
              </w:rPr>
              <w:t>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C5F9">
            <w:pPr>
              <w:jc w:val="center"/>
            </w:pPr>
            <w:r>
              <w:rPr>
                <w:rFonts w:ascii="宋体" w:hAnsi="宋体" w:eastAsia="宋体"/>
                <w:sz w:val="16"/>
              </w:rPr>
              <w:t>26.78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7A6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BF38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7B0E">
            <w:pPr>
              <w:jc w:val="center"/>
            </w:pPr>
            <w:r>
              <w:rPr>
                <w:rFonts w:ascii="宋体" w:hAnsi="宋体" w:eastAsia="宋体"/>
                <w:sz w:val="16"/>
              </w:rPr>
              <w:t>—</w:t>
            </w:r>
          </w:p>
        </w:tc>
      </w:tr>
      <w:tr w14:paraId="419E4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1B7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551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690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2D0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A0A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6D6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075D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29F6">
            <w:pPr>
              <w:jc w:val="center"/>
            </w:pPr>
            <w:r>
              <w:rPr>
                <w:rFonts w:ascii="宋体" w:hAnsi="宋体" w:eastAsia="宋体"/>
                <w:sz w:val="16"/>
              </w:rPr>
              <w:t>—</w:t>
            </w:r>
          </w:p>
        </w:tc>
      </w:tr>
      <w:tr w14:paraId="4739E7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A1F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FD0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1F04CC">
            <w:pPr>
              <w:jc w:val="center"/>
            </w:pPr>
            <w:r>
              <w:rPr>
                <w:rFonts w:ascii="宋体" w:hAnsi="宋体" w:eastAsia="宋体"/>
                <w:sz w:val="16"/>
              </w:rPr>
              <w:t>实际完成情况</w:t>
            </w:r>
          </w:p>
        </w:tc>
      </w:tr>
      <w:tr w14:paraId="28299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4D3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BC5A5">
            <w:pPr>
              <w:jc w:val="both"/>
            </w:pPr>
            <w:r>
              <w:rPr>
                <w:rFonts w:ascii="宋体" w:hAnsi="宋体" w:eastAsia="宋体"/>
                <w:sz w:val="16"/>
              </w:rPr>
              <w:t>农村危房改造共21户。项目的实施有效解决农户安全住房问题，加快了社会主义新农村建设。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5E8EF">
            <w:pPr>
              <w:jc w:val="both"/>
            </w:pPr>
            <w:r>
              <w:rPr>
                <w:rFonts w:ascii="宋体" w:hAnsi="宋体" w:eastAsia="宋体"/>
                <w:sz w:val="16"/>
              </w:rPr>
              <w:t>当年完成13户农村危房改造户的补助发放。预算执行率为61.9%，资金是按21户下达到位，当年任务实际已完成，剩余8户为次年任务。项目的实施有效解决农户安全住房问题，加快了社会主义新农村建设。受益危房改造户满意度为100%。</w:t>
            </w:r>
          </w:p>
        </w:tc>
      </w:tr>
      <w:tr w14:paraId="3EAFE7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292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DD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B8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836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31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C0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80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5F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6A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84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1A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B0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766B8">
            <w:pPr>
              <w:jc w:val="center"/>
            </w:pPr>
            <w:r>
              <w:rPr>
                <w:rFonts w:ascii="宋体" w:hAnsi="宋体" w:eastAsia="宋体"/>
                <w:sz w:val="16"/>
              </w:rPr>
              <w:t>偏差原因分析及改进措施</w:t>
            </w:r>
          </w:p>
        </w:tc>
      </w:tr>
      <w:tr w14:paraId="42C680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391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7C86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90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F190">
            <w:pPr>
              <w:jc w:val="center"/>
            </w:pPr>
            <w:r>
              <w:rPr>
                <w:rFonts w:ascii="宋体" w:hAnsi="宋体" w:eastAsia="宋体"/>
                <w:sz w:val="16"/>
              </w:rPr>
              <w:t>危房改造户数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4FCA">
            <w:pPr>
              <w:jc w:val="center"/>
            </w:pPr>
            <w:r>
              <w:rPr>
                <w:rFonts w:ascii="宋体" w:hAnsi="宋体" w:eastAsia="宋体"/>
                <w:sz w:val="16"/>
              </w:rPr>
              <w:t>&gt;=21户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58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0D98">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15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E5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D6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5194">
            <w:pPr>
              <w:jc w:val="center"/>
            </w:pPr>
            <w:r>
              <w:rPr>
                <w:rFonts w:ascii="宋体" w:hAnsi="宋体" w:eastAsia="宋体"/>
                <w:sz w:val="16"/>
              </w:rPr>
              <w:t>=13户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BBA5">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6F00B">
            <w:pPr>
              <w:jc w:val="center"/>
            </w:pPr>
            <w:r>
              <w:rPr>
                <w:rFonts w:ascii="宋体" w:hAnsi="宋体" w:eastAsia="宋体"/>
                <w:sz w:val="16"/>
              </w:rPr>
              <w:t>未完成原因：资金下达按21户到位，单位</w:t>
            </w:r>
            <w:r>
              <w:rPr>
                <w:rFonts w:hint="eastAsia" w:ascii="宋体" w:hAnsi="宋体"/>
                <w:sz w:val="16"/>
                <w:lang w:eastAsia="zh-CN"/>
              </w:rPr>
              <w:t>计划</w:t>
            </w:r>
            <w:r>
              <w:rPr>
                <w:rFonts w:ascii="宋体" w:hAnsi="宋体" w:eastAsia="宋体"/>
                <w:sz w:val="16"/>
              </w:rPr>
              <w:t>完成13户的补助发放任务，剩余8户为次年的改造发放任务。改进措施：对计划内的任务按时完成，做好补助发放工作。为下一年的任务开展奠定基础。</w:t>
            </w:r>
          </w:p>
        </w:tc>
      </w:tr>
      <w:tr w14:paraId="3A249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CC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7E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BC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AFF6">
            <w:pPr>
              <w:jc w:val="center"/>
            </w:pPr>
            <w:r>
              <w:rPr>
                <w:rFonts w:ascii="宋体" w:hAnsi="宋体" w:eastAsia="宋体"/>
                <w:sz w:val="16"/>
              </w:rPr>
              <w:t>改造后验收合格率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8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1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8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E4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1A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10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38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58012">
            <w:pPr>
              <w:jc w:val="center"/>
            </w:pPr>
          </w:p>
        </w:tc>
      </w:tr>
      <w:tr w14:paraId="6D65C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4F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909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0F0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449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6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6F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6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74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22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C1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67FA">
            <w:pPr>
              <w:jc w:val="center"/>
            </w:pPr>
            <w:r>
              <w:rPr>
                <w:rFonts w:ascii="宋体" w:hAnsi="宋体" w:eastAsia="宋体"/>
                <w:sz w:val="16"/>
              </w:rPr>
              <w:t>=61.9%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FF87">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EF5B0">
            <w:pPr>
              <w:jc w:val="center"/>
            </w:pPr>
            <w:r>
              <w:rPr>
                <w:rFonts w:ascii="宋体" w:hAnsi="宋体" w:eastAsia="宋体"/>
                <w:sz w:val="16"/>
              </w:rPr>
              <w:t>未完成原因：资金下达按21户到位，单位</w:t>
            </w:r>
            <w:r>
              <w:rPr>
                <w:rFonts w:hint="eastAsia" w:ascii="宋体" w:hAnsi="宋体"/>
                <w:sz w:val="16"/>
                <w:lang w:eastAsia="zh-CN"/>
              </w:rPr>
              <w:t>计划</w:t>
            </w:r>
            <w:r>
              <w:rPr>
                <w:rFonts w:ascii="宋体" w:hAnsi="宋体" w:eastAsia="宋体"/>
                <w:sz w:val="16"/>
              </w:rPr>
              <w:t>完成13户的补助发放任务，剩余8户为次年的改造发放任务。改进措施：对计划内的任务按时完成，做好补助发放工作。为下一年的任务开展奠定基础。</w:t>
            </w:r>
          </w:p>
        </w:tc>
      </w:tr>
      <w:tr w14:paraId="24329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B7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BC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1A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2F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9F2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F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1518">
            <w:pPr>
              <w:jc w:val="center"/>
            </w:pPr>
            <w:r>
              <w:rPr>
                <w:rFonts w:ascii="宋体" w:hAnsi="宋体" w:eastAsia="宋体"/>
                <w:sz w:val="16"/>
              </w:rPr>
              <w:t>2023年11月15日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5C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99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96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1239">
            <w:pPr>
              <w:jc w:val="center"/>
            </w:pPr>
            <w:r>
              <w:rPr>
                <w:rFonts w:ascii="宋体" w:hAnsi="宋体" w:eastAsia="宋体"/>
                <w:sz w:val="16"/>
              </w:rPr>
              <w:t>=2024年11月21日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F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E3F04">
            <w:pPr>
              <w:jc w:val="center"/>
            </w:pPr>
          </w:p>
        </w:tc>
      </w:tr>
      <w:tr w14:paraId="3B708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12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73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49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CBE0">
            <w:pPr>
              <w:jc w:val="center"/>
            </w:pPr>
            <w:r>
              <w:rPr>
                <w:rFonts w:ascii="宋体" w:hAnsi="宋体" w:eastAsia="宋体"/>
                <w:sz w:val="16"/>
              </w:rPr>
              <w:t>危房改造户平均补助标准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45CE">
            <w:pPr>
              <w:jc w:val="center"/>
            </w:pPr>
            <w:r>
              <w:rPr>
                <w:rFonts w:ascii="宋体" w:hAnsi="宋体" w:eastAsia="宋体"/>
                <w:sz w:val="16"/>
              </w:rPr>
              <w:t>&lt;=20600元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43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F924">
            <w:pPr>
              <w:jc w:val="center"/>
            </w:pPr>
            <w:r>
              <w:rPr>
                <w:rFonts w:ascii="宋体" w:hAnsi="宋体" w:eastAsia="宋体"/>
                <w:sz w:val="16"/>
              </w:rPr>
              <w:t>20600元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47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5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18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5F13">
            <w:pPr>
              <w:jc w:val="center"/>
            </w:pPr>
            <w:r>
              <w:rPr>
                <w:rFonts w:ascii="宋体" w:hAnsi="宋体" w:eastAsia="宋体"/>
                <w:sz w:val="16"/>
              </w:rPr>
              <w:t>=20600元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BB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5F2DC">
            <w:pPr>
              <w:jc w:val="center"/>
            </w:pPr>
          </w:p>
        </w:tc>
      </w:tr>
      <w:tr w14:paraId="1524A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3B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95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61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6A45">
            <w:pPr>
              <w:jc w:val="center"/>
            </w:pPr>
            <w:r>
              <w:rPr>
                <w:rFonts w:ascii="宋体" w:hAnsi="宋体" w:eastAsia="宋体"/>
                <w:sz w:val="16"/>
              </w:rPr>
              <w:t>解决农户安全住房问题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7B59">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E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37B5">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8F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1F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BC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9EE1">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51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FB5A4">
            <w:pPr>
              <w:jc w:val="center"/>
            </w:pPr>
          </w:p>
        </w:tc>
      </w:tr>
      <w:tr w14:paraId="6B078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62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9F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8F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1EBF">
            <w:pPr>
              <w:jc w:val="center"/>
            </w:pPr>
            <w:r>
              <w:rPr>
                <w:rFonts w:ascii="宋体" w:hAnsi="宋体" w:eastAsia="宋体"/>
                <w:sz w:val="16"/>
              </w:rPr>
              <w:t>受益危房改造户满意度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EE0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6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0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95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69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E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D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EF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CE07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EC18B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A98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1D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053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4C66">
            <w:pPr>
              <w:jc w:val="center"/>
            </w:pPr>
            <w:r>
              <w:rPr>
                <w:rFonts w:ascii="宋体" w:hAnsi="宋体" w:eastAsia="宋体"/>
                <w:sz w:val="16"/>
              </w:rPr>
              <w:t>71.41分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71F923"/>
        </w:tc>
      </w:tr>
    </w:tbl>
    <w:p w14:paraId="38B916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64B9B05">
        <w:tblPrEx>
          <w:tblCellMar>
            <w:top w:w="0" w:type="dxa"/>
            <w:left w:w="108" w:type="dxa"/>
            <w:bottom w:w="0" w:type="dxa"/>
            <w:right w:w="108" w:type="dxa"/>
          </w:tblCellMar>
        </w:tblPrEx>
        <w:tc>
          <w:tcPr>
            <w:tcW w:w="8848" w:type="dxa"/>
            <w:gridSpan w:val="14"/>
            <w:vAlign w:val="center"/>
          </w:tcPr>
          <w:p w14:paraId="45B93ED4">
            <w:pPr>
              <w:jc w:val="center"/>
            </w:pPr>
            <w:r>
              <w:rPr>
                <w:rFonts w:ascii="宋体" w:hAnsi="宋体" w:eastAsia="宋体"/>
                <w:sz w:val="24"/>
              </w:rPr>
              <w:t>项目支出绩效自评表</w:t>
            </w:r>
          </w:p>
        </w:tc>
      </w:tr>
      <w:tr w14:paraId="30FEA1D2">
        <w:tblPrEx>
          <w:tblCellMar>
            <w:top w:w="0" w:type="dxa"/>
            <w:left w:w="108" w:type="dxa"/>
            <w:bottom w:w="0" w:type="dxa"/>
            <w:right w:w="108" w:type="dxa"/>
          </w:tblCellMar>
        </w:tblPrEx>
        <w:tc>
          <w:tcPr>
            <w:tcW w:w="8848" w:type="dxa"/>
            <w:gridSpan w:val="14"/>
            <w:vAlign w:val="center"/>
          </w:tcPr>
          <w:p w14:paraId="6193DA56">
            <w:pPr>
              <w:jc w:val="center"/>
            </w:pPr>
            <w:r>
              <w:rPr>
                <w:rFonts w:ascii="宋体" w:hAnsi="宋体" w:eastAsia="宋体"/>
                <w:sz w:val="24"/>
              </w:rPr>
              <w:t>(2024年度)</w:t>
            </w:r>
          </w:p>
        </w:tc>
      </w:tr>
      <w:tr w14:paraId="0F0601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33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3AE061">
            <w:pPr>
              <w:jc w:val="center"/>
            </w:pPr>
            <w:r>
              <w:rPr>
                <w:rFonts w:ascii="宋体" w:hAnsi="宋体" w:eastAsia="宋体"/>
                <w:sz w:val="16"/>
              </w:rPr>
              <w:t>2024年城乡抗震安居工程建设项目</w:t>
            </w:r>
          </w:p>
        </w:tc>
      </w:tr>
      <w:tr w14:paraId="66CA15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F7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AB9CD">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AD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B4BD5">
            <w:pPr>
              <w:jc w:val="center"/>
            </w:pPr>
            <w:r>
              <w:rPr>
                <w:rFonts w:ascii="宋体" w:hAnsi="宋体" w:eastAsia="宋体"/>
                <w:sz w:val="16"/>
              </w:rPr>
              <w:t>岳普湖县住房和城乡建设局</w:t>
            </w:r>
          </w:p>
        </w:tc>
      </w:tr>
      <w:tr w14:paraId="40C16D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C9B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268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581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8CF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C7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352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ED0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2114">
            <w:pPr>
              <w:jc w:val="center"/>
            </w:pPr>
            <w:r>
              <w:rPr>
                <w:rFonts w:ascii="宋体" w:hAnsi="宋体" w:eastAsia="宋体"/>
                <w:sz w:val="16"/>
              </w:rPr>
              <w:t>得分</w:t>
            </w:r>
          </w:p>
        </w:tc>
      </w:tr>
      <w:tr w14:paraId="18FBD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AD0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AC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4F573">
            <w:pPr>
              <w:jc w:val="center"/>
            </w:pPr>
            <w:r>
              <w:rPr>
                <w:rFonts w:ascii="宋体" w:hAnsi="宋体" w:eastAsia="宋体"/>
                <w:sz w:val="16"/>
              </w:rPr>
              <w:t>188.90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A36B7">
            <w:pPr>
              <w:jc w:val="center"/>
            </w:pPr>
            <w:r>
              <w:rPr>
                <w:rFonts w:ascii="宋体" w:hAnsi="宋体" w:eastAsia="宋体"/>
                <w:sz w:val="16"/>
              </w:rPr>
              <w:t>188.90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A615F">
            <w:pPr>
              <w:jc w:val="center"/>
            </w:pPr>
            <w:r>
              <w:rPr>
                <w:rFonts w:ascii="宋体" w:hAnsi="宋体" w:eastAsia="宋体"/>
                <w:sz w:val="16"/>
              </w:rPr>
              <w:t>126.25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06B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429E2">
            <w:pPr>
              <w:jc w:val="center"/>
            </w:pPr>
            <w:r>
              <w:rPr>
                <w:rFonts w:ascii="宋体" w:hAnsi="宋体" w:eastAsia="宋体"/>
                <w:sz w:val="16"/>
              </w:rPr>
              <w:t>66.83%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698D">
            <w:pPr>
              <w:jc w:val="center"/>
            </w:pPr>
            <w:r>
              <w:rPr>
                <w:rFonts w:ascii="宋体" w:hAnsi="宋体" w:eastAsia="宋体"/>
                <w:sz w:val="16"/>
              </w:rPr>
              <w:t>1.71分</w:t>
            </w:r>
          </w:p>
        </w:tc>
      </w:tr>
      <w:tr w14:paraId="70D5B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79B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2CC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AFE5F">
            <w:pPr>
              <w:jc w:val="center"/>
            </w:pPr>
            <w:r>
              <w:rPr>
                <w:rFonts w:ascii="宋体" w:hAnsi="宋体" w:eastAsia="宋体"/>
                <w:sz w:val="16"/>
              </w:rPr>
              <w:t>188.90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286F5">
            <w:pPr>
              <w:jc w:val="center"/>
            </w:pPr>
            <w:r>
              <w:rPr>
                <w:rFonts w:ascii="宋体" w:hAnsi="宋体" w:eastAsia="宋体"/>
                <w:sz w:val="16"/>
              </w:rPr>
              <w:t>188.90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75CD6">
            <w:pPr>
              <w:jc w:val="center"/>
            </w:pPr>
            <w:r>
              <w:rPr>
                <w:rFonts w:ascii="宋体" w:hAnsi="宋体" w:eastAsia="宋体"/>
                <w:sz w:val="16"/>
              </w:rPr>
              <w:t>126.25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B89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531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5DBF">
            <w:pPr>
              <w:jc w:val="center"/>
            </w:pPr>
            <w:r>
              <w:rPr>
                <w:rFonts w:ascii="宋体" w:hAnsi="宋体" w:eastAsia="宋体"/>
                <w:sz w:val="16"/>
              </w:rPr>
              <w:t>—</w:t>
            </w:r>
          </w:p>
        </w:tc>
      </w:tr>
      <w:tr w14:paraId="1295E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D2E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691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8E7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B0B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F2F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C6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33B9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B408">
            <w:pPr>
              <w:jc w:val="center"/>
            </w:pPr>
            <w:r>
              <w:rPr>
                <w:rFonts w:ascii="宋体" w:hAnsi="宋体" w:eastAsia="宋体"/>
                <w:sz w:val="16"/>
              </w:rPr>
              <w:t>—</w:t>
            </w:r>
          </w:p>
        </w:tc>
      </w:tr>
      <w:tr w14:paraId="6A5DAF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3AF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8FE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F78A30">
            <w:pPr>
              <w:jc w:val="center"/>
            </w:pPr>
            <w:r>
              <w:rPr>
                <w:rFonts w:ascii="宋体" w:hAnsi="宋体" w:eastAsia="宋体"/>
                <w:sz w:val="16"/>
              </w:rPr>
              <w:t>实际完成情况</w:t>
            </w:r>
          </w:p>
        </w:tc>
      </w:tr>
      <w:tr w14:paraId="32EFD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A75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B1C33">
            <w:pPr>
              <w:jc w:val="both"/>
            </w:pPr>
            <w:r>
              <w:rPr>
                <w:rFonts w:ascii="宋体" w:hAnsi="宋体" w:eastAsia="宋体"/>
                <w:sz w:val="16"/>
              </w:rPr>
              <w:t>为48户农户房屋进行鉴定及排查评估。为35户农户抗震房进行补助发放。项目的实施有效解决农户安全住房问题，加快了社会主义新农村建设。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BCC56">
            <w:pPr>
              <w:jc w:val="both"/>
            </w:pPr>
            <w:r>
              <w:rPr>
                <w:rFonts w:ascii="宋体" w:hAnsi="宋体" w:eastAsia="宋体"/>
                <w:sz w:val="16"/>
              </w:rPr>
              <w:t>现阶段为48户农户房屋进行鉴定及排查评估。完成了35户农户抗震房的补助发放。预算执行率为66.8%，项目已完成，鉴定费及评估费等相关报告出具后再支付。项目的实施有效解决农户安全住房问题，加快了社会主义新农村建设。受益农户满意度为100%。</w:t>
            </w:r>
          </w:p>
        </w:tc>
      </w:tr>
      <w:tr w14:paraId="07B6A5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901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6C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6C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75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3D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3C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E8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46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28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E3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BD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CC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7B6BB">
            <w:pPr>
              <w:jc w:val="center"/>
            </w:pPr>
            <w:r>
              <w:rPr>
                <w:rFonts w:ascii="宋体" w:hAnsi="宋体" w:eastAsia="宋体"/>
                <w:sz w:val="16"/>
              </w:rPr>
              <w:t>偏差原因分析及改进措施</w:t>
            </w:r>
          </w:p>
        </w:tc>
      </w:tr>
      <w:tr w14:paraId="15A39B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C12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D01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B7B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480A">
            <w:pPr>
              <w:jc w:val="center"/>
            </w:pPr>
            <w:r>
              <w:rPr>
                <w:rFonts w:ascii="宋体" w:hAnsi="宋体" w:eastAsia="宋体"/>
                <w:sz w:val="16"/>
              </w:rPr>
              <w:t>鉴定排查评估房屋农户数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EBCE">
            <w:pPr>
              <w:jc w:val="center"/>
            </w:pPr>
            <w:r>
              <w:rPr>
                <w:rFonts w:ascii="宋体" w:hAnsi="宋体" w:eastAsia="宋体"/>
                <w:sz w:val="16"/>
              </w:rPr>
              <w:t>&gt;=48户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E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E1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39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B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E8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B516">
            <w:pPr>
              <w:jc w:val="center"/>
            </w:pPr>
            <w:r>
              <w:rPr>
                <w:rFonts w:ascii="宋体" w:hAnsi="宋体" w:eastAsia="宋体"/>
                <w:sz w:val="16"/>
              </w:rPr>
              <w:t>=48户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59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D218">
            <w:pPr>
              <w:jc w:val="center"/>
            </w:pPr>
          </w:p>
        </w:tc>
      </w:tr>
      <w:tr w14:paraId="3DEF9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94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C0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4C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1CF3">
            <w:pPr>
              <w:jc w:val="center"/>
            </w:pPr>
            <w:r>
              <w:rPr>
                <w:rFonts w:ascii="宋体" w:hAnsi="宋体" w:eastAsia="宋体"/>
                <w:sz w:val="16"/>
              </w:rPr>
              <w:t>抗震房补助农户数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AD28">
            <w:pPr>
              <w:jc w:val="center"/>
            </w:pPr>
            <w:r>
              <w:rPr>
                <w:rFonts w:ascii="宋体" w:hAnsi="宋体" w:eastAsia="宋体"/>
                <w:sz w:val="16"/>
              </w:rPr>
              <w:t>&gt;=35户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86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90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65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9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26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637F">
            <w:pPr>
              <w:jc w:val="center"/>
            </w:pPr>
            <w:r>
              <w:rPr>
                <w:rFonts w:ascii="宋体" w:hAnsi="宋体" w:eastAsia="宋体"/>
                <w:sz w:val="16"/>
              </w:rPr>
              <w:t>=35户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F1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66B36">
            <w:pPr>
              <w:jc w:val="center"/>
            </w:pPr>
          </w:p>
        </w:tc>
      </w:tr>
      <w:tr w14:paraId="53659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E7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61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C5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8319">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4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5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9B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D7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44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E8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5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64E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E483">
            <w:pPr>
              <w:jc w:val="center"/>
            </w:pPr>
          </w:p>
        </w:tc>
      </w:tr>
      <w:tr w14:paraId="32ADA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E8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8F8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364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8E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4E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8F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3C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4D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FC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0E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88C5">
            <w:pPr>
              <w:jc w:val="center"/>
            </w:pPr>
            <w:r>
              <w:rPr>
                <w:rFonts w:ascii="宋体" w:hAnsi="宋体" w:eastAsia="宋体"/>
                <w:sz w:val="16"/>
              </w:rPr>
              <w:t>=66.8%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7E08">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59169">
            <w:pPr>
              <w:jc w:val="center"/>
            </w:pPr>
            <w:r>
              <w:rPr>
                <w:rFonts w:ascii="宋体" w:hAnsi="宋体" w:eastAsia="宋体"/>
                <w:sz w:val="16"/>
              </w:rPr>
              <w:t>未完成原因：房屋评估已完成，评估、鉴定报告尚未出具，余款待报告完成后支付。改进措施：待报告出具后，及时申请支付剩余资金。</w:t>
            </w:r>
          </w:p>
        </w:tc>
      </w:tr>
      <w:tr w14:paraId="10C09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4A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83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3D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A0B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DD5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1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A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26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0C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C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1190">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5F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5C39F">
            <w:pPr>
              <w:jc w:val="center"/>
            </w:pPr>
          </w:p>
        </w:tc>
      </w:tr>
      <w:tr w14:paraId="5509D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45E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23F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CA9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8529">
            <w:pPr>
              <w:jc w:val="center"/>
            </w:pPr>
            <w:r>
              <w:rPr>
                <w:rFonts w:ascii="宋体" w:hAnsi="宋体" w:eastAsia="宋体"/>
                <w:sz w:val="16"/>
              </w:rPr>
              <w:t>房屋鉴定费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EE9D">
            <w:pPr>
              <w:jc w:val="center"/>
            </w:pPr>
            <w:r>
              <w:rPr>
                <w:rFonts w:ascii="宋体" w:hAnsi="宋体" w:eastAsia="宋体"/>
                <w:sz w:val="16"/>
              </w:rPr>
              <w:t>&lt;=27.15万元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0C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10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C2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9E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DA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8AA5">
            <w:pPr>
              <w:jc w:val="center"/>
            </w:pPr>
            <w:r>
              <w:rPr>
                <w:rFonts w:ascii="宋体" w:hAnsi="宋体" w:eastAsia="宋体"/>
                <w:sz w:val="16"/>
              </w:rPr>
              <w:t>=13.47万元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79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2AEFF">
            <w:pPr>
              <w:jc w:val="center"/>
            </w:pPr>
            <w:r>
              <w:rPr>
                <w:rFonts w:ascii="宋体" w:hAnsi="宋体" w:eastAsia="宋体"/>
                <w:sz w:val="16"/>
              </w:rPr>
              <w:t>未完成原因：房屋鉴定已完成，鉴定报告尚未出具，余款待报告完成后支付。改进措施：待报告出具后，及时申请支付剩余的鉴定资金。</w:t>
            </w:r>
          </w:p>
        </w:tc>
      </w:tr>
      <w:tr w14:paraId="27445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6A5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72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23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8A50">
            <w:pPr>
              <w:jc w:val="center"/>
            </w:pPr>
            <w:r>
              <w:rPr>
                <w:rFonts w:ascii="宋体" w:hAnsi="宋体" w:eastAsia="宋体"/>
                <w:sz w:val="16"/>
              </w:rPr>
              <w:t>房屋排查评估费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216E">
            <w:pPr>
              <w:jc w:val="center"/>
            </w:pPr>
            <w:r>
              <w:rPr>
                <w:rFonts w:ascii="宋体" w:hAnsi="宋体" w:eastAsia="宋体"/>
                <w:sz w:val="16"/>
              </w:rPr>
              <w:t>&lt;=97万元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13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95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2A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5A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C6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2D31">
            <w:pPr>
              <w:jc w:val="center"/>
            </w:pPr>
            <w:r>
              <w:rPr>
                <w:rFonts w:ascii="宋体" w:hAnsi="宋体" w:eastAsia="宋体"/>
                <w:sz w:val="16"/>
              </w:rPr>
              <w:t>=48.03万元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74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F51E7">
            <w:pPr>
              <w:jc w:val="center"/>
            </w:pPr>
            <w:r>
              <w:rPr>
                <w:rFonts w:ascii="宋体" w:hAnsi="宋体" w:eastAsia="宋体"/>
                <w:sz w:val="16"/>
              </w:rPr>
              <w:t>未完成原因：房屋评估已完成，评估报告尚未出具，余款待报告完成后支付。改进措施：待报告出具后，及时申请支付剩余的评估资金。</w:t>
            </w:r>
          </w:p>
        </w:tc>
      </w:tr>
      <w:tr w14:paraId="7654C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56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0D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47B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9601">
            <w:pPr>
              <w:jc w:val="center"/>
            </w:pPr>
            <w:r>
              <w:rPr>
                <w:rFonts w:ascii="宋体" w:hAnsi="宋体" w:eastAsia="宋体"/>
                <w:sz w:val="16"/>
              </w:rPr>
              <w:t>抗震房补助费用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ADC2">
            <w:pPr>
              <w:jc w:val="center"/>
            </w:pPr>
            <w:r>
              <w:rPr>
                <w:rFonts w:ascii="宋体" w:hAnsi="宋体" w:eastAsia="宋体"/>
                <w:sz w:val="16"/>
              </w:rPr>
              <w:t>&lt;=64.75万元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7D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4E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A6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B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6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59D1">
            <w:pPr>
              <w:jc w:val="center"/>
            </w:pPr>
            <w:r>
              <w:rPr>
                <w:rFonts w:ascii="宋体" w:hAnsi="宋体" w:eastAsia="宋体"/>
                <w:sz w:val="16"/>
              </w:rPr>
              <w:t>=64.75万元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F98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61298">
            <w:pPr>
              <w:jc w:val="center"/>
            </w:pPr>
          </w:p>
        </w:tc>
      </w:tr>
      <w:tr w14:paraId="47516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7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47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5B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9421">
            <w:pPr>
              <w:jc w:val="center"/>
            </w:pPr>
            <w:r>
              <w:rPr>
                <w:rFonts w:ascii="宋体" w:hAnsi="宋体" w:eastAsia="宋体"/>
                <w:sz w:val="16"/>
              </w:rPr>
              <w:t>解决农户安全住房问题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6455">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F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86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7C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12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6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23A5">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CC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E6B2">
            <w:pPr>
              <w:jc w:val="center"/>
            </w:pPr>
          </w:p>
        </w:tc>
      </w:tr>
      <w:tr w14:paraId="07A03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50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53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AE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AF2D">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6A4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E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A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24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EF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36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0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46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5F4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7DF25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90B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3B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B7CA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CC3E">
            <w:pPr>
              <w:jc w:val="center"/>
            </w:pPr>
            <w:r>
              <w:rPr>
                <w:rFonts w:ascii="宋体" w:hAnsi="宋体" w:eastAsia="宋体"/>
                <w:sz w:val="16"/>
              </w:rPr>
              <w:t>71.07分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6CC482"/>
        </w:tc>
      </w:tr>
    </w:tbl>
    <w:p w14:paraId="7B86A9FA">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07"/>
        <w:gridCol w:w="856"/>
        <w:gridCol w:w="607"/>
        <w:gridCol w:w="696"/>
        <w:gridCol w:w="617"/>
        <w:gridCol w:w="608"/>
        <w:gridCol w:w="607"/>
        <w:gridCol w:w="776"/>
        <w:gridCol w:w="632"/>
        <w:gridCol w:w="586"/>
        <w:gridCol w:w="631"/>
      </w:tblGrid>
      <w:tr w14:paraId="6CEE7067">
        <w:tc>
          <w:tcPr>
            <w:tcW w:w="8848" w:type="dxa"/>
            <w:gridSpan w:val="14"/>
            <w:vAlign w:val="center"/>
          </w:tcPr>
          <w:p w14:paraId="30E7946E">
            <w:pPr>
              <w:jc w:val="center"/>
            </w:pPr>
            <w:r>
              <w:rPr>
                <w:rFonts w:ascii="宋体" w:hAnsi="宋体" w:eastAsia="宋体"/>
                <w:sz w:val="24"/>
              </w:rPr>
              <w:t>项目支出绩效自评表</w:t>
            </w:r>
          </w:p>
        </w:tc>
      </w:tr>
      <w:tr w14:paraId="777DF413">
        <w:tblPrEx>
          <w:tblCellMar>
            <w:top w:w="0" w:type="dxa"/>
            <w:left w:w="108" w:type="dxa"/>
            <w:bottom w:w="0" w:type="dxa"/>
            <w:right w:w="108" w:type="dxa"/>
          </w:tblCellMar>
        </w:tblPrEx>
        <w:tc>
          <w:tcPr>
            <w:tcW w:w="8848" w:type="dxa"/>
            <w:gridSpan w:val="14"/>
            <w:vAlign w:val="center"/>
          </w:tcPr>
          <w:p w14:paraId="0517065E">
            <w:pPr>
              <w:jc w:val="center"/>
            </w:pPr>
            <w:r>
              <w:rPr>
                <w:rFonts w:ascii="宋体" w:hAnsi="宋体" w:eastAsia="宋体"/>
                <w:sz w:val="24"/>
              </w:rPr>
              <w:t>(2024年度)</w:t>
            </w:r>
          </w:p>
        </w:tc>
      </w:tr>
      <w:tr w14:paraId="36446F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6A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A2BFD8">
            <w:pPr>
              <w:jc w:val="center"/>
            </w:pPr>
            <w:r>
              <w:rPr>
                <w:rFonts w:ascii="宋体" w:hAnsi="宋体" w:eastAsia="宋体"/>
                <w:sz w:val="16"/>
              </w:rPr>
              <w:t>偿还欠款项目</w:t>
            </w:r>
          </w:p>
        </w:tc>
      </w:tr>
      <w:tr w14:paraId="6219AA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84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5C57F">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87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E083AE">
            <w:pPr>
              <w:jc w:val="center"/>
            </w:pPr>
            <w:r>
              <w:rPr>
                <w:rFonts w:ascii="宋体" w:hAnsi="宋体" w:eastAsia="宋体"/>
                <w:sz w:val="16"/>
              </w:rPr>
              <w:t>岳普湖县住房和城乡建设局</w:t>
            </w:r>
          </w:p>
        </w:tc>
      </w:tr>
      <w:tr w14:paraId="5F4AAB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8AC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6DF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F2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18B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F1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D89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83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26F2">
            <w:pPr>
              <w:jc w:val="center"/>
            </w:pPr>
            <w:r>
              <w:rPr>
                <w:rFonts w:ascii="宋体" w:hAnsi="宋体" w:eastAsia="宋体"/>
                <w:sz w:val="16"/>
              </w:rPr>
              <w:t>得分</w:t>
            </w:r>
          </w:p>
        </w:tc>
      </w:tr>
      <w:tr w14:paraId="2D3CF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30C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1B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8FAA3">
            <w:pPr>
              <w:jc w:val="center"/>
            </w:pPr>
            <w:r>
              <w:rPr>
                <w:rFonts w:ascii="宋体" w:hAnsi="宋体" w:eastAsia="宋体"/>
                <w:sz w:val="16"/>
              </w:rPr>
              <w:t>854.68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4D859">
            <w:pPr>
              <w:jc w:val="center"/>
            </w:pPr>
            <w:r>
              <w:rPr>
                <w:rFonts w:ascii="宋体" w:hAnsi="宋体" w:eastAsia="宋体"/>
                <w:sz w:val="16"/>
              </w:rPr>
              <w:t>2,089.21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51A40">
            <w:pPr>
              <w:jc w:val="center"/>
            </w:pPr>
            <w:r>
              <w:rPr>
                <w:rFonts w:ascii="宋体" w:hAnsi="宋体" w:eastAsia="宋体"/>
                <w:sz w:val="16"/>
              </w:rPr>
              <w:t>2,089.21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9EE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689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5786">
            <w:pPr>
              <w:jc w:val="center"/>
            </w:pPr>
            <w:r>
              <w:rPr>
                <w:rFonts w:ascii="宋体" w:hAnsi="宋体" w:eastAsia="宋体"/>
                <w:sz w:val="16"/>
              </w:rPr>
              <w:t>10.00分</w:t>
            </w:r>
          </w:p>
        </w:tc>
      </w:tr>
      <w:tr w14:paraId="68EBB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1B0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DEF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9BE91">
            <w:pPr>
              <w:jc w:val="center"/>
            </w:pPr>
            <w:r>
              <w:rPr>
                <w:rFonts w:ascii="宋体" w:hAnsi="宋体" w:eastAsia="宋体"/>
                <w:sz w:val="16"/>
              </w:rPr>
              <w:t>854.68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AA5C9">
            <w:pPr>
              <w:jc w:val="center"/>
            </w:pPr>
            <w:r>
              <w:rPr>
                <w:rFonts w:ascii="宋体" w:hAnsi="宋体" w:eastAsia="宋体"/>
                <w:sz w:val="16"/>
              </w:rPr>
              <w:t>2,089.21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9AD5A">
            <w:pPr>
              <w:jc w:val="center"/>
            </w:pPr>
            <w:r>
              <w:rPr>
                <w:rFonts w:ascii="宋体" w:hAnsi="宋体" w:eastAsia="宋体"/>
                <w:sz w:val="16"/>
              </w:rPr>
              <w:t>2,089.21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41B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B39E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1206">
            <w:pPr>
              <w:jc w:val="center"/>
            </w:pPr>
            <w:r>
              <w:rPr>
                <w:rFonts w:ascii="宋体" w:hAnsi="宋体" w:eastAsia="宋体"/>
                <w:sz w:val="16"/>
              </w:rPr>
              <w:t>—</w:t>
            </w:r>
          </w:p>
        </w:tc>
      </w:tr>
      <w:tr w14:paraId="65E5E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320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84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30C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0A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FB5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2FE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9414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780D">
            <w:pPr>
              <w:jc w:val="center"/>
            </w:pPr>
            <w:r>
              <w:rPr>
                <w:rFonts w:ascii="宋体" w:hAnsi="宋体" w:eastAsia="宋体"/>
                <w:sz w:val="16"/>
              </w:rPr>
              <w:t>—</w:t>
            </w:r>
          </w:p>
        </w:tc>
      </w:tr>
      <w:tr w14:paraId="294FDD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2C5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234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E3A7D6">
            <w:pPr>
              <w:jc w:val="center"/>
            </w:pPr>
            <w:r>
              <w:rPr>
                <w:rFonts w:ascii="宋体" w:hAnsi="宋体" w:eastAsia="宋体"/>
                <w:sz w:val="16"/>
              </w:rPr>
              <w:t>实际完成情况</w:t>
            </w:r>
          </w:p>
        </w:tc>
      </w:tr>
      <w:tr w14:paraId="22241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8F9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94B36">
            <w:pPr>
              <w:jc w:val="both"/>
            </w:pPr>
            <w:r>
              <w:rPr>
                <w:rFonts w:ascii="宋体" w:hAnsi="宋体" w:eastAsia="宋体"/>
                <w:sz w:val="16"/>
              </w:rPr>
              <w:t>项目主要用于偿还前期欠款项目27个，确保项目款项按期及时支付，提高政府部门的履约和服务能力，增强政府公信力。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A3AD2">
            <w:pPr>
              <w:jc w:val="both"/>
            </w:pPr>
            <w:r>
              <w:rPr>
                <w:rFonts w:ascii="宋体" w:hAnsi="宋体" w:eastAsia="宋体"/>
                <w:sz w:val="16"/>
              </w:rPr>
              <w:t>已完成对27个前期欠款项目的支付，确保项目款项按期及时支付，预算执行率为100%。项目的实施有效提高政府部门的履约和服务能力，增强政府公信力。</w:t>
            </w:r>
          </w:p>
        </w:tc>
      </w:tr>
      <w:tr w14:paraId="21BECF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6EE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4A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6B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B5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77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C5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B3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6C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00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C6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3E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31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77E0C">
            <w:pPr>
              <w:jc w:val="center"/>
            </w:pPr>
            <w:r>
              <w:rPr>
                <w:rFonts w:ascii="宋体" w:hAnsi="宋体" w:eastAsia="宋体"/>
                <w:sz w:val="16"/>
              </w:rPr>
              <w:t>偏差原因分析及改进措施</w:t>
            </w:r>
          </w:p>
        </w:tc>
      </w:tr>
      <w:tr w14:paraId="0DC0FF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65C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6DB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9E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989B">
            <w:pPr>
              <w:jc w:val="center"/>
            </w:pPr>
            <w:r>
              <w:rPr>
                <w:rFonts w:ascii="宋体" w:hAnsi="宋体" w:eastAsia="宋体"/>
                <w:sz w:val="16"/>
              </w:rPr>
              <w:t>偿还欠款项目个数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550A">
            <w:pPr>
              <w:jc w:val="center"/>
            </w:pPr>
            <w:r>
              <w:rPr>
                <w:rFonts w:ascii="宋体" w:hAnsi="宋体" w:eastAsia="宋体"/>
                <w:sz w:val="16"/>
              </w:rPr>
              <w:t>&gt;=27个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A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6CB4">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12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70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44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192B">
            <w:pPr>
              <w:jc w:val="center"/>
            </w:pPr>
            <w:r>
              <w:rPr>
                <w:rFonts w:ascii="宋体" w:hAnsi="宋体" w:eastAsia="宋体"/>
                <w:sz w:val="16"/>
              </w:rPr>
              <w:t>=27个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89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6B0D3">
            <w:pPr>
              <w:jc w:val="center"/>
            </w:pPr>
          </w:p>
        </w:tc>
      </w:tr>
      <w:tr w14:paraId="59820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8E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146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754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2368">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E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F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D4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50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9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D9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B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48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96B10">
            <w:pPr>
              <w:jc w:val="center"/>
            </w:pPr>
          </w:p>
        </w:tc>
      </w:tr>
      <w:tr w14:paraId="31EED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7A2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680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B2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00A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02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04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D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A9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03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F5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2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4A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D8F7B">
            <w:pPr>
              <w:jc w:val="center"/>
            </w:pPr>
          </w:p>
        </w:tc>
      </w:tr>
      <w:tr w14:paraId="036ED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BA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4AB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BC1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4EE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E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8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E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D6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E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4A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3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C9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D9FAC">
            <w:pPr>
              <w:jc w:val="center"/>
            </w:pPr>
          </w:p>
        </w:tc>
      </w:tr>
      <w:tr w14:paraId="6E6D8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2C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7D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3E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F87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F87E">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9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3720">
            <w:pPr>
              <w:jc w:val="center"/>
            </w:pPr>
            <w:r>
              <w:rPr>
                <w:rFonts w:ascii="宋体" w:hAnsi="宋体" w:eastAsia="宋体"/>
                <w:sz w:val="16"/>
              </w:rPr>
              <w:t>2023年10月26日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2B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3B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51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463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C4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DCBE0">
            <w:pPr>
              <w:jc w:val="center"/>
            </w:pPr>
          </w:p>
        </w:tc>
      </w:tr>
      <w:tr w14:paraId="3D8E6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ED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43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59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2354">
            <w:pPr>
              <w:jc w:val="center"/>
            </w:pPr>
            <w:r>
              <w:rPr>
                <w:rFonts w:ascii="宋体" w:hAnsi="宋体" w:eastAsia="宋体"/>
                <w:sz w:val="16"/>
              </w:rPr>
              <w:t>平均偿还欠款</w:t>
            </w:r>
            <w:r>
              <w:rPr>
                <w:rFonts w:hint="eastAsia" w:ascii="宋体" w:hAnsi="宋体"/>
                <w:sz w:val="16"/>
                <w:lang w:eastAsia="zh-CN"/>
              </w:rPr>
              <w:t>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2CA8">
            <w:pPr>
              <w:jc w:val="center"/>
            </w:pPr>
            <w:r>
              <w:rPr>
                <w:rFonts w:ascii="宋体" w:hAnsi="宋体" w:eastAsia="宋体"/>
                <w:sz w:val="16"/>
              </w:rPr>
              <w:t>&lt;=77.378万元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50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2DA2">
            <w:pPr>
              <w:jc w:val="center"/>
            </w:pPr>
            <w:r>
              <w:rPr>
                <w:rFonts w:ascii="宋体" w:hAnsi="宋体" w:eastAsia="宋体"/>
                <w:sz w:val="16"/>
              </w:rPr>
              <w:t>155.86万元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93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2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EE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49E2">
            <w:pPr>
              <w:jc w:val="center"/>
            </w:pPr>
            <w:r>
              <w:rPr>
                <w:rFonts w:ascii="宋体" w:hAnsi="宋体" w:eastAsia="宋体"/>
                <w:sz w:val="16"/>
              </w:rPr>
              <w:t>=77.378万元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603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F976">
            <w:pPr>
              <w:jc w:val="center"/>
            </w:pPr>
          </w:p>
        </w:tc>
      </w:tr>
      <w:tr w14:paraId="459DE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10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55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71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1A38">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226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0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E9D1">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220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5D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2E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3F7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EE7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E3017">
            <w:pPr>
              <w:jc w:val="center"/>
            </w:pPr>
          </w:p>
        </w:tc>
      </w:tr>
      <w:tr w14:paraId="18A62D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786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94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95B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11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76FA90"/>
        </w:tc>
      </w:tr>
    </w:tbl>
    <w:p w14:paraId="18ADBE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F41DFA9">
        <w:tblPrEx>
          <w:tblCellMar>
            <w:top w:w="0" w:type="dxa"/>
            <w:left w:w="108" w:type="dxa"/>
            <w:bottom w:w="0" w:type="dxa"/>
            <w:right w:w="108" w:type="dxa"/>
          </w:tblCellMar>
        </w:tblPrEx>
        <w:tc>
          <w:tcPr>
            <w:tcW w:w="8848" w:type="dxa"/>
            <w:gridSpan w:val="14"/>
            <w:vAlign w:val="center"/>
          </w:tcPr>
          <w:p w14:paraId="2946288A">
            <w:pPr>
              <w:jc w:val="center"/>
            </w:pPr>
            <w:r>
              <w:rPr>
                <w:rFonts w:ascii="宋体" w:hAnsi="宋体" w:eastAsia="宋体"/>
                <w:sz w:val="24"/>
              </w:rPr>
              <w:t>项目支出绩效自评表</w:t>
            </w:r>
          </w:p>
        </w:tc>
      </w:tr>
      <w:tr w14:paraId="3A35E6BE">
        <w:tblPrEx>
          <w:tblCellMar>
            <w:top w:w="0" w:type="dxa"/>
            <w:left w:w="108" w:type="dxa"/>
            <w:bottom w:w="0" w:type="dxa"/>
            <w:right w:w="108" w:type="dxa"/>
          </w:tblCellMar>
        </w:tblPrEx>
        <w:tc>
          <w:tcPr>
            <w:tcW w:w="8848" w:type="dxa"/>
            <w:gridSpan w:val="14"/>
            <w:vAlign w:val="center"/>
          </w:tcPr>
          <w:p w14:paraId="3B7ECD07">
            <w:pPr>
              <w:jc w:val="center"/>
            </w:pPr>
            <w:r>
              <w:rPr>
                <w:rFonts w:ascii="宋体" w:hAnsi="宋体" w:eastAsia="宋体"/>
                <w:sz w:val="24"/>
              </w:rPr>
              <w:t>(2024年度)</w:t>
            </w:r>
          </w:p>
        </w:tc>
      </w:tr>
      <w:tr w14:paraId="6FCB10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72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F08FE5">
            <w:pPr>
              <w:jc w:val="center"/>
            </w:pPr>
            <w:r>
              <w:rPr>
                <w:rFonts w:ascii="宋体" w:hAnsi="宋体" w:eastAsia="宋体"/>
                <w:sz w:val="16"/>
              </w:rPr>
              <w:t>化债资金项目</w:t>
            </w:r>
          </w:p>
        </w:tc>
      </w:tr>
      <w:tr w14:paraId="07D6C3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E0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08453">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E6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7E9CFA">
            <w:pPr>
              <w:jc w:val="center"/>
            </w:pPr>
            <w:r>
              <w:rPr>
                <w:rFonts w:ascii="宋体" w:hAnsi="宋体" w:eastAsia="宋体"/>
                <w:sz w:val="16"/>
              </w:rPr>
              <w:t>岳普湖县住房和城乡建设局</w:t>
            </w:r>
          </w:p>
        </w:tc>
      </w:tr>
      <w:tr w14:paraId="0374E2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803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8AB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68C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35E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525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F15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00D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C09F">
            <w:pPr>
              <w:jc w:val="center"/>
            </w:pPr>
            <w:r>
              <w:rPr>
                <w:rFonts w:ascii="宋体" w:hAnsi="宋体" w:eastAsia="宋体"/>
                <w:sz w:val="16"/>
              </w:rPr>
              <w:t>得分</w:t>
            </w:r>
          </w:p>
        </w:tc>
      </w:tr>
      <w:tr w14:paraId="7A14C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B07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663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6A3DC">
            <w:pPr>
              <w:jc w:val="center"/>
            </w:pPr>
            <w:r>
              <w:rPr>
                <w:rFonts w:ascii="宋体" w:hAnsi="宋体" w:eastAsia="宋体"/>
                <w:sz w:val="16"/>
              </w:rPr>
              <w:t>27.26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5C389">
            <w:pPr>
              <w:jc w:val="center"/>
            </w:pPr>
            <w:r>
              <w:rPr>
                <w:rFonts w:ascii="宋体" w:hAnsi="宋体" w:eastAsia="宋体"/>
                <w:sz w:val="16"/>
              </w:rPr>
              <w:t>27.32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EB37">
            <w:pPr>
              <w:jc w:val="center"/>
            </w:pPr>
            <w:r>
              <w:rPr>
                <w:rFonts w:ascii="宋体" w:hAnsi="宋体" w:eastAsia="宋体"/>
                <w:sz w:val="16"/>
              </w:rPr>
              <w:t>27.32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F22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C43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DC2E">
            <w:pPr>
              <w:jc w:val="center"/>
            </w:pPr>
            <w:r>
              <w:rPr>
                <w:rFonts w:ascii="宋体" w:hAnsi="宋体" w:eastAsia="宋体"/>
                <w:sz w:val="16"/>
              </w:rPr>
              <w:t>10.00分</w:t>
            </w:r>
          </w:p>
        </w:tc>
      </w:tr>
      <w:tr w14:paraId="001A6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A68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9C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E3EAB">
            <w:pPr>
              <w:jc w:val="center"/>
            </w:pPr>
            <w:r>
              <w:rPr>
                <w:rFonts w:ascii="宋体" w:hAnsi="宋体" w:eastAsia="宋体"/>
                <w:sz w:val="16"/>
              </w:rPr>
              <w:t>27.26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AF6E3">
            <w:pPr>
              <w:jc w:val="center"/>
            </w:pPr>
            <w:r>
              <w:rPr>
                <w:rFonts w:ascii="宋体" w:hAnsi="宋体" w:eastAsia="宋体"/>
                <w:sz w:val="16"/>
              </w:rPr>
              <w:t>27.32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CE149">
            <w:pPr>
              <w:jc w:val="center"/>
            </w:pPr>
            <w:r>
              <w:rPr>
                <w:rFonts w:ascii="宋体" w:hAnsi="宋体" w:eastAsia="宋体"/>
                <w:sz w:val="16"/>
              </w:rPr>
              <w:t>27.32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0E5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15D4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1CB0">
            <w:pPr>
              <w:jc w:val="center"/>
            </w:pPr>
            <w:r>
              <w:rPr>
                <w:rFonts w:ascii="宋体" w:hAnsi="宋体" w:eastAsia="宋体"/>
                <w:sz w:val="16"/>
              </w:rPr>
              <w:t>—</w:t>
            </w:r>
          </w:p>
        </w:tc>
      </w:tr>
      <w:tr w14:paraId="43072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EC2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45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3CF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6A4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446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5B8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853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C15C">
            <w:pPr>
              <w:jc w:val="center"/>
            </w:pPr>
            <w:r>
              <w:rPr>
                <w:rFonts w:ascii="宋体" w:hAnsi="宋体" w:eastAsia="宋体"/>
                <w:sz w:val="16"/>
              </w:rPr>
              <w:t>—</w:t>
            </w:r>
          </w:p>
        </w:tc>
      </w:tr>
      <w:tr w14:paraId="750868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12A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BC5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D845BB">
            <w:pPr>
              <w:jc w:val="center"/>
            </w:pPr>
            <w:r>
              <w:rPr>
                <w:rFonts w:ascii="宋体" w:hAnsi="宋体" w:eastAsia="宋体"/>
                <w:sz w:val="16"/>
              </w:rPr>
              <w:t>实际完成情况</w:t>
            </w:r>
          </w:p>
        </w:tc>
      </w:tr>
      <w:tr w14:paraId="06B6D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906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287F22">
            <w:pPr>
              <w:jc w:val="both"/>
            </w:pPr>
            <w:r>
              <w:rPr>
                <w:rFonts w:ascii="宋体" w:hAnsi="宋体" w:eastAsia="宋体"/>
                <w:sz w:val="16"/>
              </w:rPr>
              <w:t>项目主要用于支付4个项目的化债及化债利息，其中：喀什地区岳普湖县2015年城市棚改小区配套基础设施建设项目、喀什地区岳普湖县生活垃圾处理工程项目、喀什地区岳普湖县2014年城市棚改小区配套基础设施建设项目、喀什地区岳普湖县2016年城市棚改小区配套基础设施建设项目、2024年重点建设基金第一季度投资收益。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372BB8">
            <w:pPr>
              <w:jc w:val="both"/>
            </w:pPr>
            <w:r>
              <w:rPr>
                <w:rFonts w:ascii="宋体" w:hAnsi="宋体" w:eastAsia="宋体"/>
                <w:sz w:val="16"/>
              </w:rPr>
              <w:t>现阶段已完成4个项目的化债及化债利息的支付，其中：喀什地区岳普湖县2015年城市棚改小区配套基础设施建设项目、喀什地区岳普湖县生活垃圾处理工程项目、喀什地区岳普湖县2014年城市棚改小区配套基础设施建设项目、喀什地区岳普湖县2016年城市棚改小区配套基础设施建设项目、2024年重点建设基金第一季度投资收益。预算执行率为100%。项目的实施提高政府部门的履约和服务能力，增强政府公信力。</w:t>
            </w:r>
          </w:p>
        </w:tc>
      </w:tr>
      <w:tr w14:paraId="5043F3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847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6A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EB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2D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10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C4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5C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2A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0D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B0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1B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7D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9EEA0">
            <w:pPr>
              <w:jc w:val="center"/>
            </w:pPr>
            <w:r>
              <w:rPr>
                <w:rFonts w:ascii="宋体" w:hAnsi="宋体" w:eastAsia="宋体"/>
                <w:sz w:val="16"/>
              </w:rPr>
              <w:t>偏差原因分析及改进措施</w:t>
            </w:r>
          </w:p>
        </w:tc>
      </w:tr>
      <w:tr w14:paraId="5F6232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94D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F0E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50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AA4D">
            <w:pPr>
              <w:jc w:val="center"/>
            </w:pPr>
            <w:r>
              <w:rPr>
                <w:rFonts w:ascii="宋体" w:hAnsi="宋体" w:eastAsia="宋体"/>
                <w:sz w:val="16"/>
              </w:rPr>
              <w:t>偿还化债项目个数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FE29">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80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FB7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68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8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77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2A1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5F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C481B">
            <w:pPr>
              <w:jc w:val="center"/>
            </w:pPr>
          </w:p>
        </w:tc>
      </w:tr>
      <w:tr w14:paraId="7F2DE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78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FE1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493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2011">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3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BA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A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0E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D9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AC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A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C8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1155D">
            <w:pPr>
              <w:jc w:val="center"/>
            </w:pPr>
          </w:p>
        </w:tc>
      </w:tr>
      <w:tr w14:paraId="061BE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61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B0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64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43E1">
            <w:pPr>
              <w:jc w:val="center"/>
            </w:pPr>
            <w:r>
              <w:rPr>
                <w:rFonts w:ascii="宋体" w:hAnsi="宋体" w:eastAsia="宋体"/>
                <w:sz w:val="16"/>
              </w:rPr>
              <w:t>经费使用合规性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1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03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3B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6E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9F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1C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B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A0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3061E">
            <w:pPr>
              <w:jc w:val="center"/>
            </w:pPr>
          </w:p>
        </w:tc>
      </w:tr>
      <w:tr w14:paraId="1CF18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B7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707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4B6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7380">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8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E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F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60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FC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30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7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C9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EA9FD">
            <w:pPr>
              <w:jc w:val="center"/>
            </w:pPr>
          </w:p>
        </w:tc>
      </w:tr>
      <w:tr w14:paraId="60A25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81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6E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AD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9077">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8277">
            <w:pPr>
              <w:jc w:val="center"/>
            </w:pPr>
            <w:r>
              <w:rPr>
                <w:rFonts w:ascii="宋体" w:hAnsi="宋体" w:eastAsia="宋体"/>
                <w:sz w:val="16"/>
              </w:rPr>
              <w:t>=2024年4月10日前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05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8891">
            <w:pPr>
              <w:jc w:val="center"/>
            </w:pPr>
            <w:r>
              <w:rPr>
                <w:rFonts w:ascii="宋体" w:hAnsi="宋体" w:eastAsia="宋体"/>
                <w:sz w:val="16"/>
              </w:rPr>
              <w:t>2023年4月11日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84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E8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63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0A50">
            <w:pPr>
              <w:jc w:val="center"/>
            </w:pPr>
            <w:r>
              <w:rPr>
                <w:rFonts w:ascii="宋体" w:hAnsi="宋体" w:eastAsia="宋体"/>
                <w:sz w:val="16"/>
              </w:rPr>
              <w:t>=2024年3月12日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411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33A05">
            <w:pPr>
              <w:jc w:val="center"/>
            </w:pPr>
          </w:p>
        </w:tc>
      </w:tr>
      <w:tr w14:paraId="452DF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30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F7D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7F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7DCC">
            <w:pPr>
              <w:jc w:val="center"/>
            </w:pPr>
            <w:r>
              <w:rPr>
                <w:rFonts w:ascii="宋体" w:hAnsi="宋体" w:eastAsia="宋体"/>
                <w:sz w:val="16"/>
              </w:rPr>
              <w:t>单个项目平均欠款偿还额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C8C9">
            <w:pPr>
              <w:jc w:val="center"/>
            </w:pPr>
            <w:r>
              <w:rPr>
                <w:rFonts w:ascii="宋体" w:hAnsi="宋体" w:eastAsia="宋体"/>
                <w:sz w:val="16"/>
              </w:rPr>
              <w:t>&lt;=6.83万元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AB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1324">
            <w:pPr>
              <w:jc w:val="center"/>
            </w:pPr>
            <w:r>
              <w:rPr>
                <w:rFonts w:ascii="宋体" w:hAnsi="宋体" w:eastAsia="宋体"/>
                <w:sz w:val="16"/>
              </w:rPr>
              <w:t>439万元/个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E2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06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4D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83CB">
            <w:pPr>
              <w:jc w:val="center"/>
            </w:pPr>
            <w:r>
              <w:rPr>
                <w:rFonts w:ascii="宋体" w:hAnsi="宋体" w:eastAsia="宋体"/>
                <w:sz w:val="16"/>
              </w:rPr>
              <w:t>=6.83万元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CC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FCCEF">
            <w:pPr>
              <w:jc w:val="center"/>
            </w:pPr>
          </w:p>
        </w:tc>
      </w:tr>
      <w:tr w14:paraId="694B1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8B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AC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B2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AB7A">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5A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B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4CE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075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3E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686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875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C68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BCDEE">
            <w:pPr>
              <w:jc w:val="center"/>
            </w:pPr>
          </w:p>
        </w:tc>
      </w:tr>
      <w:tr w14:paraId="7969BC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A30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4E9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1FF8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313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E8BF92"/>
        </w:tc>
      </w:tr>
    </w:tbl>
    <w:p w14:paraId="2F36C509">
      <w:r>
        <w:br w:type="page"/>
      </w:r>
    </w:p>
    <w:tbl>
      <w:tblPr>
        <w:tblStyle w:val="9"/>
        <w:tblW w:w="0" w:type="auto"/>
        <w:tblInd w:w="0" w:type="dxa"/>
        <w:tblLayout w:type="autofit"/>
        <w:tblCellMar>
          <w:top w:w="0" w:type="dxa"/>
          <w:left w:w="108" w:type="dxa"/>
          <w:bottom w:w="0" w:type="dxa"/>
          <w:right w:w="108" w:type="dxa"/>
        </w:tblCellMar>
      </w:tblPr>
      <w:tblGrid>
        <w:gridCol w:w="605"/>
        <w:gridCol w:w="562"/>
        <w:gridCol w:w="562"/>
        <w:gridCol w:w="856"/>
        <w:gridCol w:w="936"/>
        <w:gridCol w:w="580"/>
        <w:gridCol w:w="573"/>
        <w:gridCol w:w="588"/>
        <w:gridCol w:w="564"/>
        <w:gridCol w:w="584"/>
        <w:gridCol w:w="936"/>
        <w:gridCol w:w="632"/>
        <w:gridCol w:w="476"/>
        <w:gridCol w:w="606"/>
      </w:tblGrid>
      <w:tr w14:paraId="4BB0651B">
        <w:tblPrEx>
          <w:tblCellMar>
            <w:top w:w="0" w:type="dxa"/>
            <w:left w:w="108" w:type="dxa"/>
            <w:bottom w:w="0" w:type="dxa"/>
            <w:right w:w="108" w:type="dxa"/>
          </w:tblCellMar>
        </w:tblPrEx>
        <w:tc>
          <w:tcPr>
            <w:tcW w:w="8848" w:type="dxa"/>
            <w:gridSpan w:val="14"/>
            <w:vAlign w:val="center"/>
          </w:tcPr>
          <w:p w14:paraId="3D2E7023">
            <w:pPr>
              <w:jc w:val="center"/>
            </w:pPr>
            <w:r>
              <w:rPr>
                <w:rFonts w:ascii="宋体" w:hAnsi="宋体" w:eastAsia="宋体"/>
                <w:sz w:val="24"/>
              </w:rPr>
              <w:t>项目支出绩效自评表</w:t>
            </w:r>
          </w:p>
        </w:tc>
      </w:tr>
      <w:tr w14:paraId="2969FCB8">
        <w:tblPrEx>
          <w:tblCellMar>
            <w:top w:w="0" w:type="dxa"/>
            <w:left w:w="108" w:type="dxa"/>
            <w:bottom w:w="0" w:type="dxa"/>
            <w:right w:w="108" w:type="dxa"/>
          </w:tblCellMar>
        </w:tblPrEx>
        <w:tc>
          <w:tcPr>
            <w:tcW w:w="8848" w:type="dxa"/>
            <w:gridSpan w:val="14"/>
            <w:vAlign w:val="center"/>
          </w:tcPr>
          <w:p w14:paraId="11C40CFF">
            <w:pPr>
              <w:jc w:val="center"/>
            </w:pPr>
            <w:r>
              <w:rPr>
                <w:rFonts w:ascii="宋体" w:hAnsi="宋体" w:eastAsia="宋体"/>
                <w:sz w:val="24"/>
              </w:rPr>
              <w:t>(2024年度)</w:t>
            </w:r>
          </w:p>
        </w:tc>
      </w:tr>
      <w:tr w14:paraId="7F3431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EA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7C7171">
            <w:pPr>
              <w:jc w:val="center"/>
            </w:pPr>
            <w:r>
              <w:rPr>
                <w:rFonts w:ascii="宋体" w:hAnsi="宋体" w:eastAsia="宋体"/>
                <w:sz w:val="16"/>
              </w:rPr>
              <w:t>喀什地区岳普湖县2023年供热超低排放改造项目</w:t>
            </w:r>
          </w:p>
        </w:tc>
      </w:tr>
      <w:tr w14:paraId="2F1B02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31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32FBB9">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15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FD4B0">
            <w:pPr>
              <w:jc w:val="center"/>
            </w:pPr>
            <w:r>
              <w:rPr>
                <w:rFonts w:ascii="宋体" w:hAnsi="宋体" w:eastAsia="宋体"/>
                <w:sz w:val="16"/>
              </w:rPr>
              <w:t>岳普湖县住房和城乡建设局</w:t>
            </w:r>
          </w:p>
        </w:tc>
      </w:tr>
      <w:tr w14:paraId="2379E6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A6C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4CD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A0D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E18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2F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86A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E1D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1AA0">
            <w:pPr>
              <w:jc w:val="center"/>
            </w:pPr>
            <w:r>
              <w:rPr>
                <w:rFonts w:ascii="宋体" w:hAnsi="宋体" w:eastAsia="宋体"/>
                <w:sz w:val="16"/>
              </w:rPr>
              <w:t>得分</w:t>
            </w:r>
          </w:p>
        </w:tc>
      </w:tr>
      <w:tr w14:paraId="47C62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FCA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617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D6F1">
            <w:pPr>
              <w:jc w:val="center"/>
            </w:pPr>
            <w:r>
              <w:rPr>
                <w:rFonts w:ascii="宋体" w:hAnsi="宋体" w:eastAsia="宋体"/>
                <w:sz w:val="16"/>
              </w:rPr>
              <w:t>7,509.74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9C5EB">
            <w:pPr>
              <w:jc w:val="center"/>
            </w:pPr>
            <w:r>
              <w:rPr>
                <w:rFonts w:ascii="宋体" w:hAnsi="宋体" w:eastAsia="宋体"/>
                <w:sz w:val="16"/>
              </w:rPr>
              <w:t>7,509.74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956C2">
            <w:pPr>
              <w:jc w:val="center"/>
            </w:pPr>
            <w:r>
              <w:rPr>
                <w:rFonts w:ascii="宋体" w:hAnsi="宋体" w:eastAsia="宋体"/>
                <w:sz w:val="16"/>
              </w:rPr>
              <w:t>5,853.67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B61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67453">
            <w:pPr>
              <w:jc w:val="center"/>
            </w:pPr>
            <w:r>
              <w:rPr>
                <w:rFonts w:ascii="宋体" w:hAnsi="宋体" w:eastAsia="宋体"/>
                <w:sz w:val="16"/>
              </w:rPr>
              <w:t>77.95%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9DD6">
            <w:pPr>
              <w:jc w:val="center"/>
            </w:pPr>
            <w:r>
              <w:rPr>
                <w:rFonts w:ascii="宋体" w:hAnsi="宋体" w:eastAsia="宋体"/>
                <w:sz w:val="16"/>
              </w:rPr>
              <w:t>4.49分</w:t>
            </w:r>
          </w:p>
        </w:tc>
      </w:tr>
      <w:tr w14:paraId="58638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EE2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EB6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D27DC">
            <w:pPr>
              <w:jc w:val="center"/>
            </w:pPr>
            <w:r>
              <w:rPr>
                <w:rFonts w:ascii="宋体" w:hAnsi="宋体" w:eastAsia="宋体"/>
                <w:sz w:val="16"/>
              </w:rPr>
              <w:t>1,208.67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9D08E">
            <w:pPr>
              <w:jc w:val="center"/>
            </w:pPr>
            <w:r>
              <w:rPr>
                <w:rFonts w:ascii="宋体" w:hAnsi="宋体" w:eastAsia="宋体"/>
                <w:sz w:val="16"/>
              </w:rPr>
              <w:t>1,208.67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6BC45">
            <w:pPr>
              <w:jc w:val="center"/>
            </w:pPr>
            <w:r>
              <w:rPr>
                <w:rFonts w:ascii="宋体" w:hAnsi="宋体" w:eastAsia="宋体"/>
                <w:sz w:val="16"/>
              </w:rPr>
              <w:t>1,208.67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F54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6E3C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F9DD">
            <w:pPr>
              <w:jc w:val="center"/>
            </w:pPr>
            <w:r>
              <w:rPr>
                <w:rFonts w:ascii="宋体" w:hAnsi="宋体" w:eastAsia="宋体"/>
                <w:sz w:val="16"/>
              </w:rPr>
              <w:t>—</w:t>
            </w:r>
          </w:p>
        </w:tc>
      </w:tr>
      <w:tr w14:paraId="6C424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EA7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CC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221D5">
            <w:pPr>
              <w:jc w:val="center"/>
            </w:pPr>
            <w:r>
              <w:rPr>
                <w:rFonts w:ascii="宋体" w:hAnsi="宋体" w:eastAsia="宋体"/>
                <w:sz w:val="16"/>
              </w:rPr>
              <w:t>6,301.07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9FDCC">
            <w:pPr>
              <w:jc w:val="center"/>
            </w:pPr>
            <w:r>
              <w:rPr>
                <w:rFonts w:ascii="宋体" w:hAnsi="宋体" w:eastAsia="宋体"/>
                <w:sz w:val="16"/>
              </w:rPr>
              <w:t>6,301.07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1332D">
            <w:pPr>
              <w:jc w:val="center"/>
            </w:pPr>
            <w:r>
              <w:rPr>
                <w:rFonts w:ascii="宋体" w:hAnsi="宋体" w:eastAsia="宋体"/>
                <w:sz w:val="16"/>
              </w:rPr>
              <w:t>4,645.00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67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2E23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AE30">
            <w:pPr>
              <w:jc w:val="center"/>
            </w:pPr>
            <w:r>
              <w:rPr>
                <w:rFonts w:ascii="宋体" w:hAnsi="宋体" w:eastAsia="宋体"/>
                <w:sz w:val="16"/>
              </w:rPr>
              <w:t>—</w:t>
            </w:r>
          </w:p>
        </w:tc>
      </w:tr>
      <w:tr w14:paraId="2B7AC3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016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186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A7C902">
            <w:pPr>
              <w:jc w:val="center"/>
            </w:pPr>
            <w:r>
              <w:rPr>
                <w:rFonts w:ascii="宋体" w:hAnsi="宋体" w:eastAsia="宋体"/>
                <w:sz w:val="16"/>
              </w:rPr>
              <w:t>实际完成情况</w:t>
            </w:r>
          </w:p>
        </w:tc>
      </w:tr>
      <w:tr w14:paraId="620E3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B56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DA145">
            <w:pPr>
              <w:jc w:val="both"/>
            </w:pPr>
            <w:r>
              <w:rPr>
                <w:rFonts w:ascii="宋体" w:hAnsi="宋体" w:eastAsia="宋体"/>
                <w:sz w:val="16"/>
              </w:rPr>
              <w:t>对县域内的1台65蒸吨（46MW)燃煤锅炉、1台100蒸吨（70MW)燃煤锅炉进行超低排放改造，并配套相关附属设施。项目的实施改善辖区空气质量。改善居民生活环境及提升居民生活质量。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D4AA1E">
            <w:pPr>
              <w:jc w:val="both"/>
            </w:pPr>
            <w:r>
              <w:rPr>
                <w:rFonts w:ascii="宋体" w:hAnsi="宋体" w:eastAsia="宋体"/>
                <w:sz w:val="16"/>
              </w:rPr>
              <w:t>已完成对县域内的1台65蒸吨（46MW)燃煤锅炉、1台100蒸吨（70MW)燃煤锅炉的超低排放改造任务，并配套相关附属设施。预算执行率为78%。项目的实施改善辖区空气质量。改善居民生活环境及提升居民生活质量。受益居民满意度为100%。</w:t>
            </w:r>
          </w:p>
        </w:tc>
      </w:tr>
      <w:tr w14:paraId="7E5714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501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41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19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8C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3A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0A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37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DC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65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36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40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EC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C7734">
            <w:pPr>
              <w:jc w:val="center"/>
            </w:pPr>
            <w:r>
              <w:rPr>
                <w:rFonts w:ascii="宋体" w:hAnsi="宋体" w:eastAsia="宋体"/>
                <w:sz w:val="16"/>
              </w:rPr>
              <w:t>偏差原因分析及改进措施</w:t>
            </w:r>
          </w:p>
        </w:tc>
      </w:tr>
      <w:tr w14:paraId="00C011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35F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6A5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AC9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47A8">
            <w:pPr>
              <w:jc w:val="center"/>
            </w:pPr>
            <w:r>
              <w:rPr>
                <w:rFonts w:ascii="宋体" w:hAnsi="宋体" w:eastAsia="宋体"/>
                <w:sz w:val="16"/>
              </w:rPr>
              <w:t>65蒸吨（46MW）超低排放锅炉改造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CE50">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80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2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A8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7A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0A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BE06">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41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73573">
            <w:pPr>
              <w:jc w:val="center"/>
            </w:pPr>
          </w:p>
        </w:tc>
      </w:tr>
      <w:tr w14:paraId="2F23B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9F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13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C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EC91">
            <w:pPr>
              <w:jc w:val="center"/>
            </w:pPr>
            <w:r>
              <w:rPr>
                <w:rFonts w:ascii="宋体" w:hAnsi="宋体" w:eastAsia="宋体"/>
                <w:sz w:val="16"/>
              </w:rPr>
              <w:t>100蒸吨（70MW）超低排放锅炉改造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861C">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D8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F2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D3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99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A3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7C93">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0D8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0D5A0">
            <w:pPr>
              <w:jc w:val="center"/>
            </w:pPr>
          </w:p>
        </w:tc>
      </w:tr>
      <w:tr w14:paraId="4EFB8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9F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20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2F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0982">
            <w:pPr>
              <w:jc w:val="center"/>
            </w:pPr>
            <w:r>
              <w:rPr>
                <w:rFonts w:ascii="宋体" w:hAnsi="宋体" w:eastAsia="宋体"/>
                <w:sz w:val="16"/>
              </w:rPr>
              <w:t>项目竣工验收率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6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F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85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30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3A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A1F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1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E5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E26FE">
            <w:pPr>
              <w:jc w:val="center"/>
            </w:pPr>
          </w:p>
        </w:tc>
      </w:tr>
      <w:tr w14:paraId="42D5DC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28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5FC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B19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77C7">
            <w:pPr>
              <w:jc w:val="center"/>
            </w:pPr>
            <w:r>
              <w:rPr>
                <w:rFonts w:ascii="宋体" w:hAnsi="宋体" w:eastAsia="宋体"/>
                <w:sz w:val="16"/>
              </w:rPr>
              <w:t>项目按计划完工率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6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2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1B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13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7A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D0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9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F0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62DEF">
            <w:pPr>
              <w:jc w:val="center"/>
            </w:pPr>
          </w:p>
        </w:tc>
      </w:tr>
      <w:tr w14:paraId="71993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C4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8E1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2B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FBD0">
            <w:pPr>
              <w:jc w:val="center"/>
            </w:pPr>
            <w:r>
              <w:rPr>
                <w:rFonts w:ascii="宋体" w:hAnsi="宋体" w:eastAsia="宋体"/>
                <w:sz w:val="16"/>
              </w:rPr>
              <w:t>项目验收完工时间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164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6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17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75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41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F5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9665">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8D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2250">
            <w:pPr>
              <w:jc w:val="center"/>
            </w:pPr>
          </w:p>
        </w:tc>
      </w:tr>
      <w:tr w14:paraId="5E7FB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20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B9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15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375B">
            <w:pPr>
              <w:jc w:val="center"/>
            </w:pPr>
            <w:r>
              <w:rPr>
                <w:rFonts w:ascii="宋体" w:hAnsi="宋体" w:eastAsia="宋体"/>
                <w:sz w:val="16"/>
              </w:rPr>
              <w:t>单台均改造成本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4447">
            <w:pPr>
              <w:jc w:val="center"/>
            </w:pPr>
            <w:r>
              <w:rPr>
                <w:rFonts w:ascii="宋体" w:hAnsi="宋体" w:eastAsia="宋体"/>
                <w:sz w:val="16"/>
              </w:rPr>
              <w:t>&lt;=3754.87万元/台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05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1D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D8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DF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34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7927">
            <w:pPr>
              <w:jc w:val="center"/>
            </w:pPr>
            <w:r>
              <w:rPr>
                <w:rFonts w:ascii="宋体" w:hAnsi="宋体" w:eastAsia="宋体"/>
                <w:sz w:val="16"/>
              </w:rPr>
              <w:t>=2926.835万元/台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3210">
            <w:pPr>
              <w:jc w:val="center"/>
            </w:pPr>
            <w:r>
              <w:rPr>
                <w:rFonts w:ascii="宋体" w:hAnsi="宋体" w:eastAsia="宋体"/>
                <w:sz w:val="16"/>
              </w:rPr>
              <w:t>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7DE0">
            <w:pPr>
              <w:jc w:val="center"/>
            </w:pPr>
            <w:r>
              <w:rPr>
                <w:rFonts w:ascii="宋体" w:hAnsi="宋体" w:eastAsia="宋体"/>
                <w:sz w:val="16"/>
              </w:rPr>
              <w:t>未完成原因：项目已完成并验收，现阶段正在审计阶段，部分工程尾款及质保金尚未支付。改进措施：待审核结束后，及时申请项目工程尾款。</w:t>
            </w:r>
          </w:p>
        </w:tc>
      </w:tr>
      <w:tr w14:paraId="63955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3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5C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2E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7E6B">
            <w:pPr>
              <w:jc w:val="center"/>
            </w:pPr>
            <w:r>
              <w:rPr>
                <w:rFonts w:ascii="宋体" w:hAnsi="宋体" w:eastAsia="宋体"/>
                <w:sz w:val="16"/>
              </w:rPr>
              <w:t>改善居民生活环境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7A7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CB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B1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56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30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21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F6B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ECD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A6FB">
            <w:pPr>
              <w:jc w:val="center"/>
            </w:pPr>
          </w:p>
        </w:tc>
      </w:tr>
      <w:tr w14:paraId="6F193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3B5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7A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81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8146">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71B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8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C0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98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55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7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E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6F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D56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94A96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23A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903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482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644D">
            <w:pPr>
              <w:jc w:val="center"/>
            </w:pPr>
            <w:r>
              <w:rPr>
                <w:rFonts w:ascii="宋体" w:hAnsi="宋体" w:eastAsia="宋体"/>
                <w:sz w:val="16"/>
              </w:rPr>
              <w:t>83.47分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04004A"/>
        </w:tc>
      </w:tr>
    </w:tbl>
    <w:p w14:paraId="4D8F85CD">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2"/>
        <w:gridCol w:w="601"/>
        <w:gridCol w:w="632"/>
      </w:tblGrid>
      <w:tr w14:paraId="22D51A00">
        <w:tblPrEx>
          <w:tblCellMar>
            <w:top w:w="0" w:type="dxa"/>
            <w:left w:w="108" w:type="dxa"/>
            <w:bottom w:w="0" w:type="dxa"/>
            <w:right w:w="108" w:type="dxa"/>
          </w:tblCellMar>
        </w:tblPrEx>
        <w:tc>
          <w:tcPr>
            <w:tcW w:w="8848" w:type="dxa"/>
            <w:gridSpan w:val="14"/>
            <w:vAlign w:val="center"/>
          </w:tcPr>
          <w:p w14:paraId="19136270">
            <w:pPr>
              <w:jc w:val="center"/>
            </w:pPr>
            <w:r>
              <w:rPr>
                <w:rFonts w:ascii="宋体" w:hAnsi="宋体" w:eastAsia="宋体"/>
                <w:sz w:val="24"/>
              </w:rPr>
              <w:t>项目支出绩效自评表</w:t>
            </w:r>
          </w:p>
        </w:tc>
      </w:tr>
      <w:tr w14:paraId="2085EDA5">
        <w:tblPrEx>
          <w:tblCellMar>
            <w:top w:w="0" w:type="dxa"/>
            <w:left w:w="108" w:type="dxa"/>
            <w:bottom w:w="0" w:type="dxa"/>
            <w:right w:w="108" w:type="dxa"/>
          </w:tblCellMar>
        </w:tblPrEx>
        <w:tc>
          <w:tcPr>
            <w:tcW w:w="8848" w:type="dxa"/>
            <w:gridSpan w:val="14"/>
            <w:vAlign w:val="center"/>
          </w:tcPr>
          <w:p w14:paraId="79612E72">
            <w:pPr>
              <w:jc w:val="center"/>
            </w:pPr>
            <w:r>
              <w:rPr>
                <w:rFonts w:ascii="宋体" w:hAnsi="宋体" w:eastAsia="宋体"/>
                <w:sz w:val="24"/>
              </w:rPr>
              <w:t>(2024年度)</w:t>
            </w:r>
          </w:p>
        </w:tc>
      </w:tr>
      <w:tr w14:paraId="6673C3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79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56032A">
            <w:pPr>
              <w:jc w:val="center"/>
            </w:pPr>
            <w:r>
              <w:rPr>
                <w:rFonts w:ascii="宋体" w:hAnsi="宋体" w:eastAsia="宋体"/>
                <w:sz w:val="16"/>
              </w:rPr>
              <w:t>喀什地区岳普湖县2024年燃气等老旧管网改造项目</w:t>
            </w:r>
          </w:p>
        </w:tc>
      </w:tr>
      <w:tr w14:paraId="752788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B1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80A09">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98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7B510">
            <w:pPr>
              <w:jc w:val="center"/>
            </w:pPr>
            <w:r>
              <w:rPr>
                <w:rFonts w:ascii="宋体" w:hAnsi="宋体" w:eastAsia="宋体"/>
                <w:sz w:val="16"/>
              </w:rPr>
              <w:t>岳普湖县住房和城乡建设局</w:t>
            </w:r>
          </w:p>
        </w:tc>
      </w:tr>
      <w:tr w14:paraId="250A5B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C83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11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14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01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EB6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52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CA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0853">
            <w:pPr>
              <w:jc w:val="center"/>
            </w:pPr>
            <w:r>
              <w:rPr>
                <w:rFonts w:ascii="宋体" w:hAnsi="宋体" w:eastAsia="宋体"/>
                <w:sz w:val="16"/>
              </w:rPr>
              <w:t>得分</w:t>
            </w:r>
          </w:p>
        </w:tc>
      </w:tr>
      <w:tr w14:paraId="6836E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847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7E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5A5F1">
            <w:pPr>
              <w:jc w:val="center"/>
            </w:pPr>
            <w:r>
              <w:rPr>
                <w:rFonts w:ascii="宋体" w:hAnsi="宋体" w:eastAsia="宋体"/>
                <w:sz w:val="16"/>
              </w:rPr>
              <w:t>747.54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DAF90">
            <w:pPr>
              <w:jc w:val="center"/>
            </w:pPr>
            <w:r>
              <w:rPr>
                <w:rFonts w:ascii="宋体" w:hAnsi="宋体" w:eastAsia="宋体"/>
                <w:sz w:val="16"/>
              </w:rPr>
              <w:t>747.54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F62EF">
            <w:pPr>
              <w:jc w:val="center"/>
            </w:pPr>
            <w:r>
              <w:rPr>
                <w:rFonts w:ascii="宋体" w:hAnsi="宋体" w:eastAsia="宋体"/>
                <w:sz w:val="16"/>
              </w:rPr>
              <w:t>747.54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107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23C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7166">
            <w:pPr>
              <w:jc w:val="center"/>
            </w:pPr>
            <w:r>
              <w:rPr>
                <w:rFonts w:ascii="宋体" w:hAnsi="宋体" w:eastAsia="宋体"/>
                <w:sz w:val="16"/>
              </w:rPr>
              <w:t>10.00分</w:t>
            </w:r>
          </w:p>
        </w:tc>
      </w:tr>
      <w:tr w14:paraId="10E4D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169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02C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80441">
            <w:pPr>
              <w:jc w:val="center"/>
            </w:pPr>
            <w:r>
              <w:rPr>
                <w:rFonts w:ascii="宋体" w:hAnsi="宋体" w:eastAsia="宋体"/>
                <w:sz w:val="16"/>
              </w:rPr>
              <w:t>747.54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0DF33">
            <w:pPr>
              <w:jc w:val="center"/>
            </w:pPr>
            <w:r>
              <w:rPr>
                <w:rFonts w:ascii="宋体" w:hAnsi="宋体" w:eastAsia="宋体"/>
                <w:sz w:val="16"/>
              </w:rPr>
              <w:t>747.54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B6505">
            <w:pPr>
              <w:jc w:val="center"/>
            </w:pPr>
            <w:r>
              <w:rPr>
                <w:rFonts w:ascii="宋体" w:hAnsi="宋体" w:eastAsia="宋体"/>
                <w:sz w:val="16"/>
              </w:rPr>
              <w:t>747.54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D9D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497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97D7">
            <w:pPr>
              <w:jc w:val="center"/>
            </w:pPr>
            <w:r>
              <w:rPr>
                <w:rFonts w:ascii="宋体" w:hAnsi="宋体" w:eastAsia="宋体"/>
                <w:sz w:val="16"/>
              </w:rPr>
              <w:t>—</w:t>
            </w:r>
          </w:p>
        </w:tc>
      </w:tr>
      <w:tr w14:paraId="4D13A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95A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240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A21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FC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90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74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4DD5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3A53">
            <w:pPr>
              <w:jc w:val="center"/>
            </w:pPr>
            <w:r>
              <w:rPr>
                <w:rFonts w:ascii="宋体" w:hAnsi="宋体" w:eastAsia="宋体"/>
                <w:sz w:val="16"/>
              </w:rPr>
              <w:t>—</w:t>
            </w:r>
          </w:p>
        </w:tc>
      </w:tr>
      <w:tr w14:paraId="2CFB78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ED5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51A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28BF18">
            <w:pPr>
              <w:jc w:val="center"/>
            </w:pPr>
            <w:r>
              <w:rPr>
                <w:rFonts w:ascii="宋体" w:hAnsi="宋体" w:eastAsia="宋体"/>
                <w:sz w:val="16"/>
              </w:rPr>
              <w:t>实际完成情况</w:t>
            </w:r>
          </w:p>
        </w:tc>
      </w:tr>
      <w:tr w14:paraId="6832A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850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C2BF7">
            <w:pPr>
              <w:jc w:val="both"/>
            </w:pPr>
            <w:r>
              <w:rPr>
                <w:rFonts w:ascii="宋体" w:hAnsi="宋体" w:eastAsia="宋体"/>
                <w:sz w:val="16"/>
              </w:rPr>
              <w:t>当年改造7公里老旧燃气管网。项目的实施提高县域群众获得感、幸福感。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8CE3A4">
            <w:pPr>
              <w:jc w:val="both"/>
            </w:pPr>
            <w:r>
              <w:rPr>
                <w:rFonts w:ascii="宋体" w:hAnsi="宋体" w:eastAsia="宋体"/>
                <w:sz w:val="16"/>
              </w:rPr>
              <w:t>已完成当年7公里老旧燃气管网的改造计划任务。预算执行率为100%。项目的实施提高县域群众获得感、幸福感。</w:t>
            </w:r>
          </w:p>
        </w:tc>
      </w:tr>
      <w:tr w14:paraId="2341FF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E75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2F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36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83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DD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82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75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AC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61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91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48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CC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CCBEF">
            <w:pPr>
              <w:jc w:val="center"/>
            </w:pPr>
            <w:r>
              <w:rPr>
                <w:rFonts w:ascii="宋体" w:hAnsi="宋体" w:eastAsia="宋体"/>
                <w:sz w:val="16"/>
              </w:rPr>
              <w:t>偏差原因分析及改进措施</w:t>
            </w:r>
          </w:p>
        </w:tc>
      </w:tr>
      <w:tr w14:paraId="646E2B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4D1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6C65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01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2238">
            <w:pPr>
              <w:jc w:val="center"/>
            </w:pPr>
            <w:r>
              <w:rPr>
                <w:rFonts w:ascii="宋体" w:hAnsi="宋体" w:eastAsia="宋体"/>
                <w:sz w:val="16"/>
              </w:rPr>
              <w:t>改造老旧燃气管网长度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ABDC">
            <w:pPr>
              <w:jc w:val="center"/>
            </w:pPr>
            <w:r>
              <w:rPr>
                <w:rFonts w:ascii="宋体" w:hAnsi="宋体" w:eastAsia="宋体"/>
                <w:sz w:val="16"/>
              </w:rPr>
              <w:t>&gt;=7公里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C2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13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D8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6E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C7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7E6F">
            <w:pPr>
              <w:jc w:val="center"/>
            </w:pPr>
            <w:r>
              <w:rPr>
                <w:rFonts w:ascii="宋体" w:hAnsi="宋体" w:eastAsia="宋体"/>
                <w:sz w:val="16"/>
              </w:rPr>
              <w:t>=7公里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B7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45387">
            <w:pPr>
              <w:jc w:val="center"/>
            </w:pPr>
          </w:p>
        </w:tc>
      </w:tr>
      <w:tr w14:paraId="13766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CD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C11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C79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EEA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1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41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9A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22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2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4F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9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ED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00B59">
            <w:pPr>
              <w:jc w:val="center"/>
            </w:pPr>
          </w:p>
        </w:tc>
      </w:tr>
      <w:tr w14:paraId="063AB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74F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EC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B2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F41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5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B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36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98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8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6C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5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F3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DBE3">
            <w:pPr>
              <w:jc w:val="center"/>
            </w:pPr>
          </w:p>
        </w:tc>
      </w:tr>
      <w:tr w14:paraId="06F41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EE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222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8F7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63F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53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5D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E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CC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1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15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0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9D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65C20">
            <w:pPr>
              <w:jc w:val="center"/>
            </w:pPr>
          </w:p>
        </w:tc>
      </w:tr>
      <w:tr w14:paraId="45432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E9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D8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CA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AB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CF53">
            <w:pPr>
              <w:jc w:val="center"/>
            </w:pPr>
            <w:r>
              <w:rPr>
                <w:rFonts w:ascii="宋体" w:hAnsi="宋体" w:eastAsia="宋体"/>
                <w:sz w:val="16"/>
              </w:rPr>
              <w:t>=2025年5月30日前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EF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EA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33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CB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C1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9446">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321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CF8A7">
            <w:pPr>
              <w:jc w:val="center"/>
            </w:pPr>
          </w:p>
        </w:tc>
      </w:tr>
      <w:tr w14:paraId="7686A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D0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1D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61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B04F">
            <w:pPr>
              <w:jc w:val="center"/>
            </w:pPr>
            <w:r>
              <w:rPr>
                <w:rFonts w:ascii="宋体" w:hAnsi="宋体" w:eastAsia="宋体"/>
                <w:sz w:val="16"/>
              </w:rPr>
              <w:t>燃气管网单位成本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8B7B">
            <w:pPr>
              <w:jc w:val="center"/>
            </w:pPr>
            <w:r>
              <w:rPr>
                <w:rFonts w:ascii="宋体" w:hAnsi="宋体" w:eastAsia="宋体"/>
                <w:sz w:val="16"/>
              </w:rPr>
              <w:t>&lt;=106.79万元/公里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4C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42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6D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4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31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857C">
            <w:pPr>
              <w:jc w:val="center"/>
            </w:pPr>
            <w:r>
              <w:rPr>
                <w:rFonts w:ascii="宋体" w:hAnsi="宋体" w:eastAsia="宋体"/>
                <w:sz w:val="16"/>
              </w:rPr>
              <w:t>=106.79万元/公里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BA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8ACD3">
            <w:pPr>
              <w:jc w:val="center"/>
            </w:pPr>
          </w:p>
        </w:tc>
      </w:tr>
      <w:tr w14:paraId="0FAF3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81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E7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A3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EFEF">
            <w:pPr>
              <w:jc w:val="center"/>
            </w:pPr>
            <w:r>
              <w:rPr>
                <w:rFonts w:ascii="宋体" w:hAnsi="宋体" w:eastAsia="宋体"/>
                <w:sz w:val="16"/>
              </w:rPr>
              <w:t>提高县域群众获得感、幸福感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761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E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A3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CE5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55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6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22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2F6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79E2">
            <w:pPr>
              <w:jc w:val="center"/>
            </w:pPr>
          </w:p>
        </w:tc>
      </w:tr>
      <w:tr w14:paraId="7E5D1D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954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62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7562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922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73C717"/>
        </w:tc>
      </w:tr>
    </w:tbl>
    <w:p w14:paraId="4D7EE0E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3AEC3CC">
        <w:tblPrEx>
          <w:tblCellMar>
            <w:top w:w="0" w:type="dxa"/>
            <w:left w:w="108" w:type="dxa"/>
            <w:bottom w:w="0" w:type="dxa"/>
            <w:right w:w="108" w:type="dxa"/>
          </w:tblCellMar>
        </w:tblPrEx>
        <w:tc>
          <w:tcPr>
            <w:tcW w:w="8848" w:type="dxa"/>
            <w:gridSpan w:val="14"/>
            <w:vAlign w:val="center"/>
          </w:tcPr>
          <w:p w14:paraId="747D8975">
            <w:pPr>
              <w:jc w:val="center"/>
            </w:pPr>
            <w:r>
              <w:rPr>
                <w:rFonts w:ascii="宋体" w:hAnsi="宋体" w:eastAsia="宋体"/>
                <w:sz w:val="24"/>
              </w:rPr>
              <w:t>项目支出绩效自评表</w:t>
            </w:r>
          </w:p>
        </w:tc>
      </w:tr>
      <w:tr w14:paraId="7E8352AD">
        <w:tblPrEx>
          <w:tblCellMar>
            <w:top w:w="0" w:type="dxa"/>
            <w:left w:w="108" w:type="dxa"/>
            <w:bottom w:w="0" w:type="dxa"/>
            <w:right w:w="108" w:type="dxa"/>
          </w:tblCellMar>
        </w:tblPrEx>
        <w:tc>
          <w:tcPr>
            <w:tcW w:w="8848" w:type="dxa"/>
            <w:gridSpan w:val="14"/>
            <w:vAlign w:val="center"/>
          </w:tcPr>
          <w:p w14:paraId="7F35B3F8">
            <w:pPr>
              <w:jc w:val="center"/>
            </w:pPr>
            <w:r>
              <w:rPr>
                <w:rFonts w:ascii="宋体" w:hAnsi="宋体" w:eastAsia="宋体"/>
                <w:sz w:val="24"/>
              </w:rPr>
              <w:t>(2024年度)</w:t>
            </w:r>
          </w:p>
        </w:tc>
      </w:tr>
      <w:tr w14:paraId="2B144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63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64F1DE">
            <w:pPr>
              <w:jc w:val="center"/>
            </w:pPr>
            <w:r>
              <w:rPr>
                <w:rFonts w:ascii="宋体" w:hAnsi="宋体" w:eastAsia="宋体"/>
                <w:sz w:val="16"/>
              </w:rPr>
              <w:t>喀什地区岳普湖县中水回用管网建设项目</w:t>
            </w:r>
          </w:p>
        </w:tc>
      </w:tr>
      <w:tr w14:paraId="40AB14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BF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63DEB">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D4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5A649C">
            <w:pPr>
              <w:jc w:val="center"/>
            </w:pPr>
            <w:r>
              <w:rPr>
                <w:rFonts w:ascii="宋体" w:hAnsi="宋体" w:eastAsia="宋体"/>
                <w:sz w:val="16"/>
              </w:rPr>
              <w:t>岳普湖县住房和城乡建设局</w:t>
            </w:r>
          </w:p>
        </w:tc>
      </w:tr>
      <w:tr w14:paraId="5EBC38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446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8FA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C8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4BE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FFB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5C9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0B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80A2">
            <w:pPr>
              <w:jc w:val="center"/>
            </w:pPr>
            <w:r>
              <w:rPr>
                <w:rFonts w:ascii="宋体" w:hAnsi="宋体" w:eastAsia="宋体"/>
                <w:sz w:val="16"/>
              </w:rPr>
              <w:t>得分</w:t>
            </w:r>
          </w:p>
        </w:tc>
      </w:tr>
      <w:tr w14:paraId="2DE96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0BF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203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81BCD">
            <w:pPr>
              <w:jc w:val="center"/>
            </w:pPr>
            <w:r>
              <w:rPr>
                <w:rFonts w:ascii="宋体" w:hAnsi="宋体" w:eastAsia="宋体"/>
                <w:sz w:val="16"/>
              </w:rPr>
              <w:t>1,084.53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DBB99">
            <w:pPr>
              <w:jc w:val="center"/>
            </w:pPr>
            <w:r>
              <w:rPr>
                <w:rFonts w:ascii="宋体" w:hAnsi="宋体" w:eastAsia="宋体"/>
                <w:sz w:val="16"/>
              </w:rPr>
              <w:t>1,084.53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F4791">
            <w:pPr>
              <w:jc w:val="center"/>
            </w:pPr>
            <w:r>
              <w:rPr>
                <w:rFonts w:ascii="宋体" w:hAnsi="宋体" w:eastAsia="宋体"/>
                <w:sz w:val="16"/>
              </w:rPr>
              <w:t>1,084.53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8F3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A4A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D7DD">
            <w:pPr>
              <w:jc w:val="center"/>
            </w:pPr>
            <w:r>
              <w:rPr>
                <w:rFonts w:ascii="宋体" w:hAnsi="宋体" w:eastAsia="宋体"/>
                <w:sz w:val="16"/>
              </w:rPr>
              <w:t>10.00分</w:t>
            </w:r>
          </w:p>
        </w:tc>
      </w:tr>
      <w:tr w14:paraId="2FD1E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697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696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B52FF">
            <w:pPr>
              <w:jc w:val="center"/>
            </w:pPr>
            <w:r>
              <w:rPr>
                <w:rFonts w:ascii="宋体" w:hAnsi="宋体" w:eastAsia="宋体"/>
                <w:sz w:val="16"/>
              </w:rPr>
              <w:t>1,084.53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2ECAA">
            <w:pPr>
              <w:jc w:val="center"/>
            </w:pPr>
            <w:r>
              <w:rPr>
                <w:rFonts w:ascii="宋体" w:hAnsi="宋体" w:eastAsia="宋体"/>
                <w:sz w:val="16"/>
              </w:rPr>
              <w:t>1,084.53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45C8">
            <w:pPr>
              <w:jc w:val="center"/>
            </w:pPr>
            <w:r>
              <w:rPr>
                <w:rFonts w:ascii="宋体" w:hAnsi="宋体" w:eastAsia="宋体"/>
                <w:sz w:val="16"/>
              </w:rPr>
              <w:t>1,084.53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684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016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6EFF">
            <w:pPr>
              <w:jc w:val="center"/>
            </w:pPr>
            <w:r>
              <w:rPr>
                <w:rFonts w:ascii="宋体" w:hAnsi="宋体" w:eastAsia="宋体"/>
                <w:sz w:val="16"/>
              </w:rPr>
              <w:t>—</w:t>
            </w:r>
          </w:p>
        </w:tc>
      </w:tr>
      <w:tr w14:paraId="09ACF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085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EAF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028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616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DF2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020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E3BB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8030">
            <w:pPr>
              <w:jc w:val="center"/>
            </w:pPr>
            <w:r>
              <w:rPr>
                <w:rFonts w:ascii="宋体" w:hAnsi="宋体" w:eastAsia="宋体"/>
                <w:sz w:val="16"/>
              </w:rPr>
              <w:t>—</w:t>
            </w:r>
          </w:p>
        </w:tc>
      </w:tr>
      <w:tr w14:paraId="00FDDF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4CE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EF9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A8361F">
            <w:pPr>
              <w:jc w:val="center"/>
            </w:pPr>
            <w:r>
              <w:rPr>
                <w:rFonts w:ascii="宋体" w:hAnsi="宋体" w:eastAsia="宋体"/>
                <w:sz w:val="16"/>
              </w:rPr>
              <w:t>实际完成情况</w:t>
            </w:r>
          </w:p>
        </w:tc>
      </w:tr>
      <w:tr w14:paraId="30A3B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81A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467E7">
            <w:pPr>
              <w:jc w:val="both"/>
            </w:pPr>
            <w:r>
              <w:rPr>
                <w:rFonts w:ascii="宋体" w:hAnsi="宋体" w:eastAsia="宋体"/>
                <w:sz w:val="16"/>
              </w:rPr>
              <w:t>新建21公里中水管网。项目的实施提高供水的稳定性和可靠性，保障居民的用水安全。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B1C72">
            <w:pPr>
              <w:jc w:val="both"/>
            </w:pPr>
            <w:r>
              <w:rPr>
                <w:rFonts w:ascii="宋体" w:hAnsi="宋体" w:eastAsia="宋体"/>
                <w:sz w:val="16"/>
              </w:rPr>
              <w:t>已完成当年21公里中水管网建设任务。预算执行率为100%。项目的实施提高供水的稳定性和可靠性，保障居民的用水安全。</w:t>
            </w:r>
          </w:p>
        </w:tc>
      </w:tr>
      <w:tr w14:paraId="66FDAC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881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93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C9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3C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FE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E4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7E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11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C1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BA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20F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45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5B165">
            <w:pPr>
              <w:jc w:val="center"/>
            </w:pPr>
            <w:r>
              <w:rPr>
                <w:rFonts w:ascii="宋体" w:hAnsi="宋体" w:eastAsia="宋体"/>
                <w:sz w:val="16"/>
              </w:rPr>
              <w:t>偏差原因分析及改进措施</w:t>
            </w:r>
          </w:p>
        </w:tc>
      </w:tr>
      <w:tr w14:paraId="098AB0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934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6FD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E0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F6F2">
            <w:pPr>
              <w:jc w:val="center"/>
            </w:pPr>
            <w:r>
              <w:rPr>
                <w:rFonts w:ascii="宋体" w:hAnsi="宋体" w:eastAsia="宋体"/>
                <w:sz w:val="16"/>
              </w:rPr>
              <w:t>当年建设中水管网长度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2938">
            <w:pPr>
              <w:jc w:val="center"/>
            </w:pPr>
            <w:r>
              <w:rPr>
                <w:rFonts w:ascii="宋体" w:hAnsi="宋体" w:eastAsia="宋体"/>
                <w:sz w:val="16"/>
              </w:rPr>
              <w:t>&gt;=21公里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F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6D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CC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7F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0A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D6A9">
            <w:pPr>
              <w:jc w:val="center"/>
            </w:pPr>
            <w:r>
              <w:rPr>
                <w:rFonts w:ascii="宋体" w:hAnsi="宋体" w:eastAsia="宋体"/>
                <w:sz w:val="16"/>
              </w:rPr>
              <w:t>=21公里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0B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B35D9">
            <w:pPr>
              <w:jc w:val="center"/>
            </w:pPr>
          </w:p>
        </w:tc>
      </w:tr>
      <w:tr w14:paraId="18824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56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57B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D71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E264">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5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12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36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B5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3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1D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7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A4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C130A">
            <w:pPr>
              <w:jc w:val="center"/>
            </w:pPr>
          </w:p>
        </w:tc>
      </w:tr>
      <w:tr w14:paraId="49470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79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3E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E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D3F5">
            <w:pPr>
              <w:jc w:val="center"/>
            </w:pPr>
            <w:r>
              <w:rPr>
                <w:rFonts w:ascii="宋体" w:hAnsi="宋体" w:eastAsia="宋体"/>
                <w:sz w:val="16"/>
              </w:rPr>
              <w:t>当年任务完成率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7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EC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07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B2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6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64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1E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CF7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DC56F">
            <w:pPr>
              <w:jc w:val="center"/>
            </w:pPr>
          </w:p>
        </w:tc>
      </w:tr>
      <w:tr w14:paraId="40B9D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A7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EE3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891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9F5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1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9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A1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9E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9F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DC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CA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A5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3D5F9">
            <w:pPr>
              <w:jc w:val="center"/>
            </w:pPr>
          </w:p>
        </w:tc>
      </w:tr>
      <w:tr w14:paraId="49804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E2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78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24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9D6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34E3">
            <w:pPr>
              <w:jc w:val="center"/>
            </w:pPr>
            <w:r>
              <w:rPr>
                <w:rFonts w:ascii="宋体" w:hAnsi="宋体" w:eastAsia="宋体"/>
                <w:sz w:val="16"/>
              </w:rPr>
              <w:t>=2025年5月30日前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5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38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43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83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87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6D2B">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2D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363C9">
            <w:pPr>
              <w:jc w:val="center"/>
            </w:pPr>
          </w:p>
        </w:tc>
      </w:tr>
      <w:tr w14:paraId="277D9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77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8E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69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3F2D">
            <w:pPr>
              <w:jc w:val="center"/>
            </w:pPr>
            <w:r>
              <w:rPr>
                <w:rFonts w:ascii="宋体" w:hAnsi="宋体" w:eastAsia="宋体"/>
                <w:sz w:val="16"/>
              </w:rPr>
              <w:t>建设中水管网预算控制数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F757">
            <w:pPr>
              <w:jc w:val="center"/>
            </w:pPr>
            <w:r>
              <w:rPr>
                <w:rFonts w:ascii="宋体" w:hAnsi="宋体" w:eastAsia="宋体"/>
                <w:sz w:val="16"/>
              </w:rPr>
              <w:t>&lt;=51.64万元/公里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8F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BE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13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13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94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589B">
            <w:pPr>
              <w:jc w:val="center"/>
            </w:pPr>
            <w:r>
              <w:rPr>
                <w:rFonts w:ascii="宋体" w:hAnsi="宋体" w:eastAsia="宋体"/>
                <w:sz w:val="16"/>
              </w:rPr>
              <w:t>=51.64万元/公里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62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90FB4">
            <w:pPr>
              <w:jc w:val="center"/>
            </w:pPr>
          </w:p>
        </w:tc>
      </w:tr>
      <w:tr w14:paraId="49621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C5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79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0E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D948">
            <w:pPr>
              <w:jc w:val="center"/>
            </w:pPr>
            <w:r>
              <w:rPr>
                <w:rFonts w:ascii="宋体" w:hAnsi="宋体" w:eastAsia="宋体"/>
                <w:sz w:val="16"/>
              </w:rPr>
              <w:t>提高供水的稳定性和可靠性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90A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CC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0937">
            <w:pPr>
              <w:jc w:val="center"/>
            </w:pPr>
            <w:r>
              <w:rPr>
                <w:rFonts w:ascii="宋体" w:hAnsi="宋体" w:eastAsia="宋体"/>
                <w:sz w:val="16"/>
              </w:rPr>
              <w:t>新地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4EE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B0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D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1E3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CFB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34F7">
            <w:pPr>
              <w:jc w:val="center"/>
            </w:pPr>
          </w:p>
        </w:tc>
      </w:tr>
      <w:tr w14:paraId="3CDADC8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2FA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1E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E5D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B5D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68420A"/>
        </w:tc>
      </w:tr>
    </w:tbl>
    <w:p w14:paraId="75DA69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D359846">
        <w:tblPrEx>
          <w:tblCellMar>
            <w:top w:w="0" w:type="dxa"/>
            <w:left w:w="108" w:type="dxa"/>
            <w:bottom w:w="0" w:type="dxa"/>
            <w:right w:w="108" w:type="dxa"/>
          </w:tblCellMar>
        </w:tblPrEx>
        <w:tc>
          <w:tcPr>
            <w:tcW w:w="8848" w:type="dxa"/>
            <w:gridSpan w:val="14"/>
            <w:vAlign w:val="center"/>
          </w:tcPr>
          <w:p w14:paraId="0A3DCA23">
            <w:pPr>
              <w:jc w:val="center"/>
            </w:pPr>
            <w:r>
              <w:rPr>
                <w:rFonts w:ascii="宋体" w:hAnsi="宋体" w:eastAsia="宋体"/>
                <w:sz w:val="24"/>
              </w:rPr>
              <w:t>项目支出绩效自评表</w:t>
            </w:r>
          </w:p>
        </w:tc>
      </w:tr>
      <w:tr w14:paraId="39041ADC">
        <w:tblPrEx>
          <w:tblCellMar>
            <w:top w:w="0" w:type="dxa"/>
            <w:left w:w="108" w:type="dxa"/>
            <w:bottom w:w="0" w:type="dxa"/>
            <w:right w:w="108" w:type="dxa"/>
          </w:tblCellMar>
        </w:tblPrEx>
        <w:tc>
          <w:tcPr>
            <w:tcW w:w="8848" w:type="dxa"/>
            <w:gridSpan w:val="14"/>
            <w:vAlign w:val="center"/>
          </w:tcPr>
          <w:p w14:paraId="24A631A9">
            <w:pPr>
              <w:jc w:val="center"/>
            </w:pPr>
            <w:r>
              <w:rPr>
                <w:rFonts w:ascii="宋体" w:hAnsi="宋体" w:eastAsia="宋体"/>
                <w:sz w:val="24"/>
              </w:rPr>
              <w:t>(2024年度)</w:t>
            </w:r>
          </w:p>
        </w:tc>
      </w:tr>
      <w:tr w14:paraId="33126E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CB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A3F53F">
            <w:pPr>
              <w:jc w:val="center"/>
            </w:pPr>
            <w:r>
              <w:rPr>
                <w:rFonts w:ascii="宋体" w:hAnsi="宋体" w:eastAsia="宋体"/>
                <w:sz w:val="16"/>
              </w:rPr>
              <w:t>喀什地区岳普湖县市政大道建设项目</w:t>
            </w:r>
          </w:p>
        </w:tc>
      </w:tr>
      <w:tr w14:paraId="1F38F7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86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D1595">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52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C13FB0">
            <w:pPr>
              <w:jc w:val="center"/>
            </w:pPr>
            <w:r>
              <w:rPr>
                <w:rFonts w:ascii="宋体" w:hAnsi="宋体" w:eastAsia="宋体"/>
                <w:sz w:val="16"/>
              </w:rPr>
              <w:t>岳普湖县住房和城乡建设局</w:t>
            </w:r>
          </w:p>
        </w:tc>
      </w:tr>
      <w:tr w14:paraId="6AEC34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35E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40F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679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137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570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B29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1D2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6DA2">
            <w:pPr>
              <w:jc w:val="center"/>
            </w:pPr>
            <w:r>
              <w:rPr>
                <w:rFonts w:ascii="宋体" w:hAnsi="宋体" w:eastAsia="宋体"/>
                <w:sz w:val="16"/>
              </w:rPr>
              <w:t>得分</w:t>
            </w:r>
          </w:p>
        </w:tc>
      </w:tr>
      <w:tr w14:paraId="70A33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3B2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F74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A7F5">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8221F">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9052E">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A53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6D2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5FBC">
            <w:pPr>
              <w:jc w:val="center"/>
            </w:pPr>
            <w:r>
              <w:rPr>
                <w:rFonts w:ascii="宋体" w:hAnsi="宋体" w:eastAsia="宋体"/>
                <w:sz w:val="16"/>
              </w:rPr>
              <w:t>10.00分</w:t>
            </w:r>
          </w:p>
        </w:tc>
      </w:tr>
      <w:tr w14:paraId="764E5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34A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397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3969D">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9B03B">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186F9">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72B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848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E2E9">
            <w:pPr>
              <w:jc w:val="center"/>
            </w:pPr>
            <w:r>
              <w:rPr>
                <w:rFonts w:ascii="宋体" w:hAnsi="宋体" w:eastAsia="宋体"/>
                <w:sz w:val="16"/>
              </w:rPr>
              <w:t>—</w:t>
            </w:r>
          </w:p>
        </w:tc>
      </w:tr>
      <w:tr w14:paraId="4E181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7AC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F51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D24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AB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505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B1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9CE0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8095">
            <w:pPr>
              <w:jc w:val="center"/>
            </w:pPr>
            <w:r>
              <w:rPr>
                <w:rFonts w:ascii="宋体" w:hAnsi="宋体" w:eastAsia="宋体"/>
                <w:sz w:val="16"/>
              </w:rPr>
              <w:t>—</w:t>
            </w:r>
          </w:p>
        </w:tc>
      </w:tr>
      <w:tr w14:paraId="39E350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111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BA3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160D21">
            <w:pPr>
              <w:jc w:val="center"/>
            </w:pPr>
            <w:r>
              <w:rPr>
                <w:rFonts w:ascii="宋体" w:hAnsi="宋体" w:eastAsia="宋体"/>
                <w:sz w:val="16"/>
              </w:rPr>
              <w:t>实际完成情况</w:t>
            </w:r>
          </w:p>
        </w:tc>
      </w:tr>
      <w:tr w14:paraId="46F0D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3E5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680FEA">
            <w:pPr>
              <w:jc w:val="both"/>
            </w:pPr>
            <w:r>
              <w:rPr>
                <w:rFonts w:ascii="宋体" w:hAnsi="宋体" w:eastAsia="宋体"/>
                <w:sz w:val="16"/>
              </w:rPr>
              <w:t>对岳普湖县的1条市政大道的人行道、非机动车道、路牌标识、灯箱等进行提升改造。项目的实施改善居民的出行条件，加快了社会主义新农村建设。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E804B2">
            <w:pPr>
              <w:jc w:val="both"/>
            </w:pPr>
            <w:r>
              <w:rPr>
                <w:rFonts w:ascii="宋体" w:hAnsi="宋体" w:eastAsia="宋体"/>
                <w:sz w:val="16"/>
              </w:rPr>
              <w:t>已完成对岳普湖县的1条市政大道的人行道、非机动车道、路牌标识、灯箱等提升改造的任务。预算执行率为100%。项目的实施改善居民的出行条件，加快了社会主义新农村建设。</w:t>
            </w:r>
          </w:p>
        </w:tc>
      </w:tr>
      <w:tr w14:paraId="3A20B0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BD4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E8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FF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8D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20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5C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47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6E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9A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C6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06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A0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59705">
            <w:pPr>
              <w:jc w:val="center"/>
            </w:pPr>
            <w:r>
              <w:rPr>
                <w:rFonts w:ascii="宋体" w:hAnsi="宋体" w:eastAsia="宋体"/>
                <w:sz w:val="16"/>
              </w:rPr>
              <w:t>偏差原因分析及改进措施</w:t>
            </w:r>
          </w:p>
        </w:tc>
      </w:tr>
      <w:tr w14:paraId="629F36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A4C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4B6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3A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79E7">
            <w:pPr>
              <w:jc w:val="center"/>
            </w:pPr>
            <w:r>
              <w:rPr>
                <w:rFonts w:ascii="宋体" w:hAnsi="宋体" w:eastAsia="宋体"/>
                <w:sz w:val="16"/>
              </w:rPr>
              <w:t>提升改造道路数量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6D97">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64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CD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DE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B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D0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6EE9">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5D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5F46B">
            <w:pPr>
              <w:jc w:val="center"/>
            </w:pPr>
          </w:p>
        </w:tc>
      </w:tr>
      <w:tr w14:paraId="3C681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A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1FB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4E7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2131">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8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9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93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C9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7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3F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8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94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2512E">
            <w:pPr>
              <w:jc w:val="center"/>
            </w:pPr>
          </w:p>
        </w:tc>
      </w:tr>
      <w:tr w14:paraId="5441A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F9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70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78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467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C3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8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56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58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AA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C5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A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48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BFAB">
            <w:pPr>
              <w:jc w:val="center"/>
            </w:pPr>
          </w:p>
        </w:tc>
      </w:tr>
      <w:tr w14:paraId="7F6BA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15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BDF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E07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416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C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3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31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F7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63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5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0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AF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19513">
            <w:pPr>
              <w:jc w:val="center"/>
            </w:pPr>
          </w:p>
        </w:tc>
      </w:tr>
      <w:tr w14:paraId="314DC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DF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02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91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F10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E10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8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57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BC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CA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54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4D1E">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6E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4BAAB">
            <w:pPr>
              <w:jc w:val="center"/>
            </w:pPr>
          </w:p>
        </w:tc>
      </w:tr>
      <w:tr w14:paraId="450D8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7CA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92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86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9B4A">
            <w:pPr>
              <w:jc w:val="center"/>
            </w:pPr>
            <w:r>
              <w:rPr>
                <w:rFonts w:ascii="宋体" w:hAnsi="宋体" w:eastAsia="宋体"/>
                <w:sz w:val="16"/>
              </w:rPr>
              <w:t>提升改造道路预算控制数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A80C">
            <w:pPr>
              <w:jc w:val="center"/>
            </w:pPr>
            <w:r>
              <w:rPr>
                <w:rFonts w:ascii="宋体" w:hAnsi="宋体" w:eastAsia="宋体"/>
                <w:sz w:val="16"/>
              </w:rPr>
              <w:t>&lt;=500万元/条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EB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70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D5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B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72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AB4D">
            <w:pPr>
              <w:jc w:val="center"/>
            </w:pPr>
            <w:r>
              <w:rPr>
                <w:rFonts w:ascii="宋体" w:hAnsi="宋体" w:eastAsia="宋体"/>
                <w:sz w:val="16"/>
              </w:rPr>
              <w:t>=500万元/条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D4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0CDFB">
            <w:pPr>
              <w:jc w:val="center"/>
            </w:pPr>
          </w:p>
        </w:tc>
      </w:tr>
      <w:tr w14:paraId="101C9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B2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2F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EC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07FE">
            <w:pPr>
              <w:jc w:val="center"/>
            </w:pPr>
            <w:r>
              <w:rPr>
                <w:rFonts w:ascii="宋体" w:hAnsi="宋体" w:eastAsia="宋体"/>
                <w:sz w:val="16"/>
              </w:rPr>
              <w:t>改善居民的出行条件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D76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F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4B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A3A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55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B4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097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56C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5F8A0">
            <w:pPr>
              <w:jc w:val="center"/>
            </w:pPr>
          </w:p>
        </w:tc>
      </w:tr>
      <w:tr w14:paraId="2E497E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E8C6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AD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987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7F4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D8C0D9"/>
        </w:tc>
      </w:tr>
    </w:tbl>
    <w:p w14:paraId="14E7038E">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9"/>
        <w:gridCol w:w="936"/>
        <w:gridCol w:w="606"/>
        <w:gridCol w:w="602"/>
        <w:gridCol w:w="610"/>
        <w:gridCol w:w="598"/>
        <w:gridCol w:w="597"/>
        <w:gridCol w:w="856"/>
        <w:gridCol w:w="632"/>
        <w:gridCol w:w="564"/>
        <w:gridCol w:w="630"/>
      </w:tblGrid>
      <w:tr w14:paraId="105B8268">
        <w:tblPrEx>
          <w:tblCellMar>
            <w:top w:w="0" w:type="dxa"/>
            <w:left w:w="108" w:type="dxa"/>
            <w:bottom w:w="0" w:type="dxa"/>
            <w:right w:w="108" w:type="dxa"/>
          </w:tblCellMar>
        </w:tblPrEx>
        <w:tc>
          <w:tcPr>
            <w:tcW w:w="8848" w:type="dxa"/>
            <w:gridSpan w:val="14"/>
            <w:vAlign w:val="center"/>
          </w:tcPr>
          <w:p w14:paraId="7317AC12">
            <w:pPr>
              <w:jc w:val="center"/>
            </w:pPr>
            <w:r>
              <w:rPr>
                <w:rFonts w:ascii="宋体" w:hAnsi="宋体" w:eastAsia="宋体"/>
                <w:sz w:val="24"/>
              </w:rPr>
              <w:t>项目支出绩效自评表</w:t>
            </w:r>
          </w:p>
        </w:tc>
      </w:tr>
      <w:tr w14:paraId="2DDACE3C">
        <w:tblPrEx>
          <w:tblCellMar>
            <w:top w:w="0" w:type="dxa"/>
            <w:left w:w="108" w:type="dxa"/>
            <w:bottom w:w="0" w:type="dxa"/>
            <w:right w:w="108" w:type="dxa"/>
          </w:tblCellMar>
        </w:tblPrEx>
        <w:tc>
          <w:tcPr>
            <w:tcW w:w="8848" w:type="dxa"/>
            <w:gridSpan w:val="14"/>
            <w:vAlign w:val="center"/>
          </w:tcPr>
          <w:p w14:paraId="3F71DDCD">
            <w:pPr>
              <w:jc w:val="center"/>
            </w:pPr>
            <w:r>
              <w:rPr>
                <w:rFonts w:ascii="宋体" w:hAnsi="宋体" w:eastAsia="宋体"/>
                <w:sz w:val="24"/>
              </w:rPr>
              <w:t>(2024年度)</w:t>
            </w:r>
          </w:p>
        </w:tc>
      </w:tr>
      <w:tr w14:paraId="02608F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52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D9EFCB">
            <w:pPr>
              <w:jc w:val="center"/>
            </w:pPr>
            <w:r>
              <w:rPr>
                <w:rFonts w:ascii="宋体" w:hAnsi="宋体" w:eastAsia="宋体"/>
                <w:sz w:val="16"/>
              </w:rPr>
              <w:t>岳普湖县“平改坡”建设项目</w:t>
            </w:r>
          </w:p>
        </w:tc>
      </w:tr>
      <w:tr w14:paraId="7D0D36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57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66255">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0C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F30D8">
            <w:pPr>
              <w:jc w:val="center"/>
            </w:pPr>
            <w:r>
              <w:rPr>
                <w:rFonts w:ascii="宋体" w:hAnsi="宋体" w:eastAsia="宋体"/>
                <w:sz w:val="16"/>
              </w:rPr>
              <w:t>岳普湖县住房和城乡建设局</w:t>
            </w:r>
          </w:p>
        </w:tc>
      </w:tr>
      <w:tr w14:paraId="7FE953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6C4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797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F8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E2E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846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56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A6D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1495">
            <w:pPr>
              <w:jc w:val="center"/>
            </w:pPr>
            <w:r>
              <w:rPr>
                <w:rFonts w:ascii="宋体" w:hAnsi="宋体" w:eastAsia="宋体"/>
                <w:sz w:val="16"/>
              </w:rPr>
              <w:t>得分</w:t>
            </w:r>
          </w:p>
        </w:tc>
      </w:tr>
      <w:tr w14:paraId="388FC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8E5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B00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5CEFE">
            <w:pPr>
              <w:jc w:val="center"/>
            </w:pPr>
            <w:r>
              <w:rPr>
                <w:rFonts w:ascii="宋体" w:hAnsi="宋体" w:eastAsia="宋体"/>
                <w:sz w:val="16"/>
              </w:rPr>
              <w:t>9,119.63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3ADBA">
            <w:pPr>
              <w:jc w:val="center"/>
            </w:pPr>
            <w:r>
              <w:rPr>
                <w:rFonts w:ascii="宋体" w:hAnsi="宋体" w:eastAsia="宋体"/>
                <w:sz w:val="16"/>
              </w:rPr>
              <w:t>9,119.63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001BF">
            <w:pPr>
              <w:jc w:val="center"/>
            </w:pPr>
            <w:r>
              <w:rPr>
                <w:rFonts w:ascii="宋体" w:hAnsi="宋体" w:eastAsia="宋体"/>
                <w:sz w:val="16"/>
              </w:rPr>
              <w:t>9,119.63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F9F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735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7D04">
            <w:pPr>
              <w:jc w:val="center"/>
            </w:pPr>
            <w:r>
              <w:rPr>
                <w:rFonts w:ascii="宋体" w:hAnsi="宋体" w:eastAsia="宋体"/>
                <w:sz w:val="16"/>
              </w:rPr>
              <w:t>10.00分</w:t>
            </w:r>
          </w:p>
        </w:tc>
      </w:tr>
      <w:tr w14:paraId="33720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1A6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B9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F47C7">
            <w:pPr>
              <w:jc w:val="center"/>
            </w:pPr>
            <w:r>
              <w:rPr>
                <w:rFonts w:ascii="宋体" w:hAnsi="宋体" w:eastAsia="宋体"/>
                <w:sz w:val="16"/>
              </w:rPr>
              <w:t>9,119.63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C69A">
            <w:pPr>
              <w:jc w:val="center"/>
            </w:pPr>
            <w:r>
              <w:rPr>
                <w:rFonts w:ascii="宋体" w:hAnsi="宋体" w:eastAsia="宋体"/>
                <w:sz w:val="16"/>
              </w:rPr>
              <w:t>9,119.63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87834">
            <w:pPr>
              <w:jc w:val="center"/>
            </w:pPr>
            <w:r>
              <w:rPr>
                <w:rFonts w:ascii="宋体" w:hAnsi="宋体" w:eastAsia="宋体"/>
                <w:sz w:val="16"/>
              </w:rPr>
              <w:t>9,119.63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E2C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94A8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8A55">
            <w:pPr>
              <w:jc w:val="center"/>
            </w:pPr>
            <w:r>
              <w:rPr>
                <w:rFonts w:ascii="宋体" w:hAnsi="宋体" w:eastAsia="宋体"/>
                <w:sz w:val="16"/>
              </w:rPr>
              <w:t>—</w:t>
            </w:r>
          </w:p>
        </w:tc>
      </w:tr>
      <w:tr w14:paraId="016F6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389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6C5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23F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F6A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850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B6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6AAF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2655">
            <w:pPr>
              <w:jc w:val="center"/>
            </w:pPr>
            <w:r>
              <w:rPr>
                <w:rFonts w:ascii="宋体" w:hAnsi="宋体" w:eastAsia="宋体"/>
                <w:sz w:val="16"/>
              </w:rPr>
              <w:t>—</w:t>
            </w:r>
          </w:p>
        </w:tc>
      </w:tr>
      <w:tr w14:paraId="357739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70A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0F1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30201C">
            <w:pPr>
              <w:jc w:val="center"/>
            </w:pPr>
            <w:r>
              <w:rPr>
                <w:rFonts w:ascii="宋体" w:hAnsi="宋体" w:eastAsia="宋体"/>
                <w:sz w:val="16"/>
              </w:rPr>
              <w:t>实际完成情况</w:t>
            </w:r>
          </w:p>
        </w:tc>
      </w:tr>
      <w:tr w14:paraId="31725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18F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167F2">
            <w:pPr>
              <w:jc w:val="both"/>
            </w:pPr>
            <w:r>
              <w:rPr>
                <w:rFonts w:ascii="宋体" w:hAnsi="宋体" w:eastAsia="宋体"/>
                <w:sz w:val="16"/>
              </w:rPr>
              <w:t>为9个乡镇在2021年至2023年11月30日期间完成屋面改造并通过验收的19288户农户家庭发放补助。项目的实施有利于解决居民住房防水保暖，改善居民的生活条件。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1925EE">
            <w:pPr>
              <w:jc w:val="both"/>
            </w:pPr>
            <w:r>
              <w:rPr>
                <w:rFonts w:ascii="宋体" w:hAnsi="宋体" w:eastAsia="宋体"/>
                <w:sz w:val="16"/>
              </w:rPr>
              <w:t>现阶段对9个乡镇在2021年至2023年11月30日期间完成屋面改造并通过验收的19288户农户家庭发放补助。预算执行率为100%。项目的实施有利于解决居民住房防水保暖，改善居民的生活条件。受益改造户农户满意度为100%。</w:t>
            </w:r>
          </w:p>
        </w:tc>
      </w:tr>
      <w:tr w14:paraId="702190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CDA3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F3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F5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53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A6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38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53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19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50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FD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CC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84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0DA1">
            <w:pPr>
              <w:jc w:val="center"/>
            </w:pPr>
            <w:r>
              <w:rPr>
                <w:rFonts w:ascii="宋体" w:hAnsi="宋体" w:eastAsia="宋体"/>
                <w:sz w:val="16"/>
              </w:rPr>
              <w:t>偏差原因分析及改进措施</w:t>
            </w:r>
          </w:p>
        </w:tc>
      </w:tr>
      <w:tr w14:paraId="374B7A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DD4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5D93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87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422D">
            <w:pPr>
              <w:jc w:val="center"/>
            </w:pPr>
            <w:r>
              <w:rPr>
                <w:rFonts w:ascii="宋体" w:hAnsi="宋体" w:eastAsia="宋体"/>
                <w:sz w:val="16"/>
              </w:rPr>
              <w:t>“平改坡”农户补助户数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E221">
            <w:pPr>
              <w:jc w:val="center"/>
            </w:pPr>
            <w:r>
              <w:rPr>
                <w:rFonts w:ascii="宋体" w:hAnsi="宋体" w:eastAsia="宋体"/>
                <w:sz w:val="16"/>
              </w:rPr>
              <w:t>&gt;=19288户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2F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71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B3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55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3C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C9A4">
            <w:pPr>
              <w:jc w:val="center"/>
            </w:pPr>
            <w:r>
              <w:rPr>
                <w:rFonts w:ascii="宋体" w:hAnsi="宋体" w:eastAsia="宋体"/>
                <w:sz w:val="16"/>
              </w:rPr>
              <w:t>=19288户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E8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27C7C">
            <w:pPr>
              <w:jc w:val="center"/>
            </w:pPr>
          </w:p>
        </w:tc>
      </w:tr>
      <w:tr w14:paraId="4E3A9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6D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AEE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AB1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8FA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1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13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3E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84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7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F8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8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AF3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3AC04">
            <w:pPr>
              <w:jc w:val="center"/>
            </w:pPr>
          </w:p>
        </w:tc>
      </w:tr>
      <w:tr w14:paraId="0186B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54F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83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43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826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A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F7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5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94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27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18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C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4E0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F3C66">
            <w:pPr>
              <w:jc w:val="center"/>
            </w:pPr>
          </w:p>
        </w:tc>
      </w:tr>
      <w:tr w14:paraId="09DC1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63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A5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962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529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C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0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6F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6D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2D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0D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A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8C0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04282">
            <w:pPr>
              <w:jc w:val="center"/>
            </w:pPr>
          </w:p>
        </w:tc>
      </w:tr>
      <w:tr w14:paraId="2213E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5E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5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6D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C10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F6B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AD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62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39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1A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62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D0FD">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C1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4E9D">
            <w:pPr>
              <w:jc w:val="center"/>
            </w:pPr>
          </w:p>
        </w:tc>
      </w:tr>
      <w:tr w14:paraId="6307D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C5D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CC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95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DB5C">
            <w:pPr>
              <w:jc w:val="center"/>
            </w:pPr>
            <w:r>
              <w:rPr>
                <w:rFonts w:ascii="宋体" w:hAnsi="宋体" w:eastAsia="宋体"/>
                <w:sz w:val="16"/>
              </w:rPr>
              <w:t>“平改坡”农户补助平均预算控制数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8096">
            <w:pPr>
              <w:jc w:val="center"/>
            </w:pPr>
            <w:r>
              <w:rPr>
                <w:rFonts w:ascii="宋体" w:hAnsi="宋体" w:eastAsia="宋体"/>
                <w:sz w:val="16"/>
              </w:rPr>
              <w:t>&lt;=4728.13元/人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1A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11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B2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3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82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D375">
            <w:pPr>
              <w:jc w:val="center"/>
            </w:pPr>
            <w:r>
              <w:rPr>
                <w:rFonts w:ascii="宋体" w:hAnsi="宋体" w:eastAsia="宋体"/>
                <w:sz w:val="16"/>
              </w:rPr>
              <w:t>=4728.13元/人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64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90BC7">
            <w:pPr>
              <w:jc w:val="center"/>
            </w:pPr>
          </w:p>
        </w:tc>
      </w:tr>
      <w:tr w14:paraId="35D81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70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BB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8D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1BE6">
            <w:pPr>
              <w:jc w:val="center"/>
            </w:pPr>
            <w:r>
              <w:rPr>
                <w:rFonts w:ascii="宋体" w:hAnsi="宋体" w:eastAsia="宋体"/>
                <w:sz w:val="16"/>
              </w:rPr>
              <w:t>解决居民住房防水保暖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4AEA">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1D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F2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7B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AD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FF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A911">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85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178BF">
            <w:pPr>
              <w:jc w:val="center"/>
            </w:pPr>
          </w:p>
        </w:tc>
      </w:tr>
      <w:tr w14:paraId="4BB37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143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AE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A7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A2AB">
            <w:pPr>
              <w:jc w:val="center"/>
            </w:pPr>
            <w:r>
              <w:rPr>
                <w:rFonts w:ascii="宋体" w:hAnsi="宋体" w:eastAsia="宋体"/>
                <w:sz w:val="16"/>
              </w:rPr>
              <w:t>受益改造户农户满意度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48C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6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3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6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0A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97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7B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19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DA0C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0AB89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EF7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10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26A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204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52BB11"/>
        </w:tc>
      </w:tr>
    </w:tbl>
    <w:p w14:paraId="2C974753">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606"/>
        <w:gridCol w:w="603"/>
        <w:gridCol w:w="610"/>
        <w:gridCol w:w="599"/>
        <w:gridCol w:w="608"/>
        <w:gridCol w:w="856"/>
        <w:gridCol w:w="632"/>
        <w:gridCol w:w="567"/>
        <w:gridCol w:w="630"/>
      </w:tblGrid>
      <w:tr w14:paraId="2FE6EFD3">
        <w:tblPrEx>
          <w:tblCellMar>
            <w:top w:w="0" w:type="dxa"/>
            <w:left w:w="108" w:type="dxa"/>
            <w:bottom w:w="0" w:type="dxa"/>
            <w:right w:w="108" w:type="dxa"/>
          </w:tblCellMar>
        </w:tblPrEx>
        <w:tc>
          <w:tcPr>
            <w:tcW w:w="8848" w:type="dxa"/>
            <w:gridSpan w:val="14"/>
            <w:vAlign w:val="center"/>
          </w:tcPr>
          <w:p w14:paraId="7DEEAFEA">
            <w:pPr>
              <w:jc w:val="center"/>
            </w:pPr>
            <w:r>
              <w:rPr>
                <w:rFonts w:ascii="宋体" w:hAnsi="宋体" w:eastAsia="宋体"/>
                <w:sz w:val="24"/>
              </w:rPr>
              <w:t>项目支出绩效自评表</w:t>
            </w:r>
          </w:p>
        </w:tc>
      </w:tr>
      <w:tr w14:paraId="5CF12F48">
        <w:tblPrEx>
          <w:tblCellMar>
            <w:top w:w="0" w:type="dxa"/>
            <w:left w:w="108" w:type="dxa"/>
            <w:bottom w:w="0" w:type="dxa"/>
            <w:right w:w="108" w:type="dxa"/>
          </w:tblCellMar>
        </w:tblPrEx>
        <w:tc>
          <w:tcPr>
            <w:tcW w:w="8848" w:type="dxa"/>
            <w:gridSpan w:val="14"/>
            <w:vAlign w:val="center"/>
          </w:tcPr>
          <w:p w14:paraId="03E10073">
            <w:pPr>
              <w:jc w:val="center"/>
            </w:pPr>
            <w:r>
              <w:rPr>
                <w:rFonts w:ascii="宋体" w:hAnsi="宋体" w:eastAsia="宋体"/>
                <w:sz w:val="24"/>
              </w:rPr>
              <w:t>(2024年度)</w:t>
            </w:r>
          </w:p>
        </w:tc>
      </w:tr>
      <w:tr w14:paraId="2C6E20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31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1B493F">
            <w:pPr>
              <w:jc w:val="center"/>
            </w:pPr>
            <w:r>
              <w:rPr>
                <w:rFonts w:ascii="宋体" w:hAnsi="宋体" w:eastAsia="宋体"/>
                <w:sz w:val="16"/>
              </w:rPr>
              <w:t>岳普湖县住建局绿化养护项目</w:t>
            </w:r>
          </w:p>
        </w:tc>
      </w:tr>
      <w:tr w14:paraId="204949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D0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69738">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3C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48CEEC">
            <w:pPr>
              <w:jc w:val="center"/>
            </w:pPr>
            <w:r>
              <w:rPr>
                <w:rFonts w:ascii="宋体" w:hAnsi="宋体" w:eastAsia="宋体"/>
                <w:sz w:val="16"/>
              </w:rPr>
              <w:t>岳普湖县住房和城乡建设局</w:t>
            </w:r>
          </w:p>
        </w:tc>
      </w:tr>
      <w:tr w14:paraId="77ACA4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4CA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31C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59E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896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AE7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3D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B1A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0AAF">
            <w:pPr>
              <w:jc w:val="center"/>
            </w:pPr>
            <w:r>
              <w:rPr>
                <w:rFonts w:ascii="宋体" w:hAnsi="宋体" w:eastAsia="宋体"/>
                <w:sz w:val="16"/>
              </w:rPr>
              <w:t>得分</w:t>
            </w:r>
          </w:p>
        </w:tc>
      </w:tr>
      <w:tr w14:paraId="4DBF1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C65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D49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6A977">
            <w:pPr>
              <w:jc w:val="center"/>
            </w:pPr>
            <w:r>
              <w:rPr>
                <w:rFonts w:ascii="宋体" w:hAnsi="宋体" w:eastAsia="宋体"/>
                <w:sz w:val="16"/>
              </w:rPr>
              <w:t>609.40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B9CA">
            <w:pPr>
              <w:jc w:val="center"/>
            </w:pPr>
            <w:r>
              <w:rPr>
                <w:rFonts w:ascii="宋体" w:hAnsi="宋体" w:eastAsia="宋体"/>
                <w:sz w:val="16"/>
              </w:rPr>
              <w:t>1,665.82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8E9F">
            <w:pPr>
              <w:jc w:val="center"/>
            </w:pPr>
            <w:r>
              <w:rPr>
                <w:rFonts w:ascii="宋体" w:hAnsi="宋体" w:eastAsia="宋体"/>
                <w:sz w:val="16"/>
              </w:rPr>
              <w:t>1,665.82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2B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0D2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4EF0">
            <w:pPr>
              <w:jc w:val="center"/>
            </w:pPr>
            <w:r>
              <w:rPr>
                <w:rFonts w:ascii="宋体" w:hAnsi="宋体" w:eastAsia="宋体"/>
                <w:sz w:val="16"/>
              </w:rPr>
              <w:t>10.00分</w:t>
            </w:r>
          </w:p>
        </w:tc>
      </w:tr>
      <w:tr w14:paraId="05BFD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1BA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F39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172B7">
            <w:pPr>
              <w:jc w:val="center"/>
            </w:pPr>
            <w:r>
              <w:rPr>
                <w:rFonts w:ascii="宋体" w:hAnsi="宋体" w:eastAsia="宋体"/>
                <w:sz w:val="16"/>
              </w:rPr>
              <w:t>609.40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921A3">
            <w:pPr>
              <w:jc w:val="center"/>
            </w:pPr>
            <w:r>
              <w:rPr>
                <w:rFonts w:ascii="宋体" w:hAnsi="宋体" w:eastAsia="宋体"/>
                <w:sz w:val="16"/>
              </w:rPr>
              <w:t>1,665.82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062EB">
            <w:pPr>
              <w:jc w:val="center"/>
            </w:pPr>
            <w:r>
              <w:rPr>
                <w:rFonts w:ascii="宋体" w:hAnsi="宋体" w:eastAsia="宋体"/>
                <w:sz w:val="16"/>
              </w:rPr>
              <w:t>1,665.82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498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4FC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1762">
            <w:pPr>
              <w:jc w:val="center"/>
            </w:pPr>
            <w:r>
              <w:rPr>
                <w:rFonts w:ascii="宋体" w:hAnsi="宋体" w:eastAsia="宋体"/>
                <w:sz w:val="16"/>
              </w:rPr>
              <w:t>—</w:t>
            </w:r>
          </w:p>
        </w:tc>
      </w:tr>
      <w:tr w14:paraId="7701E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B55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8D5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A6C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F8B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04D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B7E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E536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F5CC">
            <w:pPr>
              <w:jc w:val="center"/>
            </w:pPr>
            <w:r>
              <w:rPr>
                <w:rFonts w:ascii="宋体" w:hAnsi="宋体" w:eastAsia="宋体"/>
                <w:sz w:val="16"/>
              </w:rPr>
              <w:t>—</w:t>
            </w:r>
          </w:p>
        </w:tc>
      </w:tr>
      <w:tr w14:paraId="15D888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828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3D6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CC0728">
            <w:pPr>
              <w:jc w:val="center"/>
            </w:pPr>
            <w:r>
              <w:rPr>
                <w:rFonts w:ascii="宋体" w:hAnsi="宋体" w:eastAsia="宋体"/>
                <w:sz w:val="16"/>
              </w:rPr>
              <w:t>实际完成情况</w:t>
            </w:r>
          </w:p>
        </w:tc>
      </w:tr>
      <w:tr w14:paraId="0EE87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39B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8D4A8">
            <w:pPr>
              <w:jc w:val="both"/>
            </w:pPr>
            <w:r>
              <w:rPr>
                <w:rFonts w:ascii="宋体" w:hAnsi="宋体" w:eastAsia="宋体"/>
                <w:sz w:val="16"/>
              </w:rPr>
              <w:t>保障1个单位绿化养护经费支出。项目的实施有利于提高县域居民生活质量和生活环境，改善县城整体的生态环境。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736E9F">
            <w:pPr>
              <w:jc w:val="both"/>
            </w:pPr>
            <w:r>
              <w:rPr>
                <w:rFonts w:ascii="宋体" w:hAnsi="宋体" w:eastAsia="宋体"/>
                <w:sz w:val="16"/>
              </w:rPr>
              <w:t>现阶段已保障1个单位的经费支出，主要支出是绿化养护。预算执行率为100%。项目的实施有利于提高县域居民生活质量和生活环境，改善县城整体的生态环境。</w:t>
            </w:r>
          </w:p>
        </w:tc>
      </w:tr>
      <w:tr w14:paraId="3F5A02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068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49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C3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B9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DB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9B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4C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16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78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9D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D6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7A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8C2EF">
            <w:pPr>
              <w:jc w:val="center"/>
            </w:pPr>
            <w:r>
              <w:rPr>
                <w:rFonts w:ascii="宋体" w:hAnsi="宋体" w:eastAsia="宋体"/>
                <w:sz w:val="16"/>
              </w:rPr>
              <w:t>偏差原因分析及改进措施</w:t>
            </w:r>
          </w:p>
        </w:tc>
      </w:tr>
      <w:tr w14:paraId="7BC90C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168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27BD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F9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C08A">
            <w:pPr>
              <w:jc w:val="center"/>
            </w:pPr>
            <w:r>
              <w:rPr>
                <w:rFonts w:ascii="宋体" w:hAnsi="宋体" w:eastAsia="宋体"/>
                <w:sz w:val="16"/>
              </w:rPr>
              <w:t>保障绿化经费单位数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880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9C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E4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F6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B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BB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8B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B1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C00AA">
            <w:pPr>
              <w:jc w:val="center"/>
            </w:pPr>
          </w:p>
        </w:tc>
      </w:tr>
      <w:tr w14:paraId="5F12C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E7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CC5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2A7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C186">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B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3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60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B7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95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24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58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D5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6472">
            <w:pPr>
              <w:jc w:val="center"/>
            </w:pPr>
          </w:p>
        </w:tc>
      </w:tr>
      <w:tr w14:paraId="47DA3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24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9F6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72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413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2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C7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49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1E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9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4D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3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FF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0212D">
            <w:pPr>
              <w:jc w:val="center"/>
            </w:pPr>
          </w:p>
        </w:tc>
      </w:tr>
      <w:tr w14:paraId="30970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B8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13F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5C7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52B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C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8A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36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50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1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87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F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6D7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5959E">
            <w:pPr>
              <w:jc w:val="center"/>
            </w:pPr>
          </w:p>
        </w:tc>
      </w:tr>
      <w:tr w14:paraId="15DA9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EC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04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A6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423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1A0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BE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5E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65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5B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0D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78A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23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06BB7">
            <w:pPr>
              <w:jc w:val="center"/>
            </w:pPr>
          </w:p>
        </w:tc>
      </w:tr>
      <w:tr w14:paraId="233BB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90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200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C9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A95F">
            <w:pPr>
              <w:jc w:val="center"/>
            </w:pPr>
            <w:r>
              <w:rPr>
                <w:rFonts w:ascii="宋体" w:hAnsi="宋体" w:eastAsia="宋体"/>
                <w:sz w:val="16"/>
              </w:rPr>
              <w:t>绿化经费费用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C606">
            <w:pPr>
              <w:jc w:val="center"/>
            </w:pPr>
            <w:r>
              <w:rPr>
                <w:rFonts w:ascii="宋体" w:hAnsi="宋体" w:eastAsia="宋体"/>
                <w:sz w:val="16"/>
              </w:rPr>
              <w:t>&lt;=1665.82万元/个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A5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A3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EE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5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8F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F56A">
            <w:pPr>
              <w:jc w:val="center"/>
            </w:pPr>
            <w:r>
              <w:rPr>
                <w:rFonts w:ascii="宋体" w:hAnsi="宋体" w:eastAsia="宋体"/>
                <w:sz w:val="16"/>
              </w:rPr>
              <w:t>=1665.82万元/个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4B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460DB">
            <w:pPr>
              <w:jc w:val="center"/>
            </w:pPr>
          </w:p>
        </w:tc>
      </w:tr>
      <w:tr w14:paraId="2DE5C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EE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A2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0F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692D">
            <w:pPr>
              <w:jc w:val="center"/>
            </w:pPr>
            <w:r>
              <w:rPr>
                <w:rFonts w:ascii="宋体" w:hAnsi="宋体" w:eastAsia="宋体"/>
                <w:sz w:val="16"/>
              </w:rPr>
              <w:t>提高县域居民生活质量和生活环境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CE4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E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47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989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DE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EAF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100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7FD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C59C8">
            <w:pPr>
              <w:jc w:val="center"/>
            </w:pPr>
          </w:p>
        </w:tc>
      </w:tr>
      <w:tr w14:paraId="722E19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777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B5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F65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203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776645"/>
        </w:tc>
      </w:tr>
    </w:tbl>
    <w:p w14:paraId="54D95A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7EF28A9">
        <w:tblPrEx>
          <w:tblCellMar>
            <w:top w:w="0" w:type="dxa"/>
            <w:left w:w="108" w:type="dxa"/>
            <w:bottom w:w="0" w:type="dxa"/>
            <w:right w:w="108" w:type="dxa"/>
          </w:tblCellMar>
        </w:tblPrEx>
        <w:tc>
          <w:tcPr>
            <w:tcW w:w="8848" w:type="dxa"/>
            <w:gridSpan w:val="14"/>
            <w:vAlign w:val="center"/>
          </w:tcPr>
          <w:p w14:paraId="54C1978C">
            <w:pPr>
              <w:jc w:val="center"/>
            </w:pPr>
            <w:r>
              <w:rPr>
                <w:rFonts w:ascii="宋体" w:hAnsi="宋体" w:eastAsia="宋体"/>
                <w:sz w:val="24"/>
              </w:rPr>
              <w:t>项目支出绩效自评表</w:t>
            </w:r>
          </w:p>
        </w:tc>
      </w:tr>
      <w:tr w14:paraId="7130E381">
        <w:tblPrEx>
          <w:tblCellMar>
            <w:top w:w="0" w:type="dxa"/>
            <w:left w:w="108" w:type="dxa"/>
            <w:bottom w:w="0" w:type="dxa"/>
            <w:right w:w="108" w:type="dxa"/>
          </w:tblCellMar>
        </w:tblPrEx>
        <w:tc>
          <w:tcPr>
            <w:tcW w:w="8848" w:type="dxa"/>
            <w:gridSpan w:val="14"/>
            <w:vAlign w:val="center"/>
          </w:tcPr>
          <w:p w14:paraId="03A9C446">
            <w:pPr>
              <w:jc w:val="center"/>
            </w:pPr>
            <w:r>
              <w:rPr>
                <w:rFonts w:ascii="宋体" w:hAnsi="宋体" w:eastAsia="宋体"/>
                <w:sz w:val="24"/>
              </w:rPr>
              <w:t>(2024年度)</w:t>
            </w:r>
          </w:p>
        </w:tc>
      </w:tr>
      <w:tr w14:paraId="61489D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25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1A4CFB">
            <w:pPr>
              <w:jc w:val="center"/>
            </w:pPr>
            <w:r>
              <w:rPr>
                <w:rFonts w:ascii="宋体" w:hAnsi="宋体" w:eastAsia="宋体"/>
                <w:sz w:val="16"/>
              </w:rPr>
              <w:t>岳普湖县县城路灯及绿化水井电费项目</w:t>
            </w:r>
          </w:p>
        </w:tc>
      </w:tr>
      <w:tr w14:paraId="254265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90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85C87">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15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E16603">
            <w:pPr>
              <w:jc w:val="center"/>
            </w:pPr>
            <w:r>
              <w:rPr>
                <w:rFonts w:ascii="宋体" w:hAnsi="宋体" w:eastAsia="宋体"/>
                <w:sz w:val="16"/>
              </w:rPr>
              <w:t>岳普湖县住房和城乡建设局</w:t>
            </w:r>
          </w:p>
        </w:tc>
      </w:tr>
      <w:tr w14:paraId="35B3C3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B3C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696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4D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66F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5DE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EF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22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0EA3">
            <w:pPr>
              <w:jc w:val="center"/>
            </w:pPr>
            <w:r>
              <w:rPr>
                <w:rFonts w:ascii="宋体" w:hAnsi="宋体" w:eastAsia="宋体"/>
                <w:sz w:val="16"/>
              </w:rPr>
              <w:t>得分</w:t>
            </w:r>
          </w:p>
        </w:tc>
      </w:tr>
      <w:tr w14:paraId="5C6AB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D0C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EF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06889">
            <w:pPr>
              <w:jc w:val="center"/>
            </w:pPr>
            <w:r>
              <w:rPr>
                <w:rFonts w:ascii="宋体" w:hAnsi="宋体" w:eastAsia="宋体"/>
                <w:sz w:val="16"/>
              </w:rPr>
              <w:t>302.20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7C8D">
            <w:pPr>
              <w:jc w:val="center"/>
            </w:pPr>
            <w:r>
              <w:rPr>
                <w:rFonts w:ascii="宋体" w:hAnsi="宋体" w:eastAsia="宋体"/>
                <w:sz w:val="16"/>
              </w:rPr>
              <w:t>197.90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E1A6">
            <w:pPr>
              <w:jc w:val="center"/>
            </w:pPr>
            <w:r>
              <w:rPr>
                <w:rFonts w:ascii="宋体" w:hAnsi="宋体" w:eastAsia="宋体"/>
                <w:sz w:val="16"/>
              </w:rPr>
              <w:t>197.90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891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F0F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F69C">
            <w:pPr>
              <w:jc w:val="center"/>
            </w:pPr>
            <w:r>
              <w:rPr>
                <w:rFonts w:ascii="宋体" w:hAnsi="宋体" w:eastAsia="宋体"/>
                <w:sz w:val="16"/>
              </w:rPr>
              <w:t>10.00分</w:t>
            </w:r>
          </w:p>
        </w:tc>
      </w:tr>
      <w:tr w14:paraId="24FC3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EA2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124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2F82">
            <w:pPr>
              <w:jc w:val="center"/>
            </w:pPr>
            <w:r>
              <w:rPr>
                <w:rFonts w:ascii="宋体" w:hAnsi="宋体" w:eastAsia="宋体"/>
                <w:sz w:val="16"/>
              </w:rPr>
              <w:t>302.20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6407">
            <w:pPr>
              <w:jc w:val="center"/>
            </w:pPr>
            <w:r>
              <w:rPr>
                <w:rFonts w:ascii="宋体" w:hAnsi="宋体" w:eastAsia="宋体"/>
                <w:sz w:val="16"/>
              </w:rPr>
              <w:t>197.90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EF3FA">
            <w:pPr>
              <w:jc w:val="center"/>
            </w:pPr>
            <w:r>
              <w:rPr>
                <w:rFonts w:ascii="宋体" w:hAnsi="宋体" w:eastAsia="宋体"/>
                <w:sz w:val="16"/>
              </w:rPr>
              <w:t>197.90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22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171F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FA53">
            <w:pPr>
              <w:jc w:val="center"/>
            </w:pPr>
            <w:r>
              <w:rPr>
                <w:rFonts w:ascii="宋体" w:hAnsi="宋体" w:eastAsia="宋体"/>
                <w:sz w:val="16"/>
              </w:rPr>
              <w:t>—</w:t>
            </w:r>
          </w:p>
        </w:tc>
      </w:tr>
      <w:tr w14:paraId="16B1D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5C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2A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F5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C22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877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702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DB57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7182">
            <w:pPr>
              <w:jc w:val="center"/>
            </w:pPr>
            <w:r>
              <w:rPr>
                <w:rFonts w:ascii="宋体" w:hAnsi="宋体" w:eastAsia="宋体"/>
                <w:sz w:val="16"/>
              </w:rPr>
              <w:t>—</w:t>
            </w:r>
          </w:p>
        </w:tc>
      </w:tr>
      <w:tr w14:paraId="61940E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CF3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4C7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F239BF">
            <w:pPr>
              <w:jc w:val="center"/>
            </w:pPr>
            <w:r>
              <w:rPr>
                <w:rFonts w:ascii="宋体" w:hAnsi="宋体" w:eastAsia="宋体"/>
                <w:sz w:val="16"/>
              </w:rPr>
              <w:t>实际完成情况</w:t>
            </w:r>
          </w:p>
        </w:tc>
      </w:tr>
      <w:tr w14:paraId="5FEB9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074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3DE20">
            <w:pPr>
              <w:jc w:val="both"/>
            </w:pPr>
            <w:r>
              <w:rPr>
                <w:rFonts w:ascii="宋体" w:hAnsi="宋体" w:eastAsia="宋体"/>
                <w:sz w:val="16"/>
              </w:rPr>
              <w:t>项目主要用于支付岳普湖县县城路灯及绿化水井电费，经费保障机构1个。项目实施确保县城的亮化工程，改善交通条件，提高道路通行能力。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E1C4E">
            <w:pPr>
              <w:jc w:val="both"/>
            </w:pPr>
            <w:r>
              <w:rPr>
                <w:rFonts w:ascii="宋体" w:hAnsi="宋体" w:eastAsia="宋体"/>
                <w:sz w:val="16"/>
              </w:rPr>
              <w:t>现阶段已保障1个单位的经费支出，主要用于支付岳普湖县县城路灯及绿化水井电费，预算执行率100%。项目实施确保县城的亮化工程，改善交通条件，提高道路通行能力。</w:t>
            </w:r>
          </w:p>
        </w:tc>
      </w:tr>
      <w:tr w14:paraId="5E61E9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606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EB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22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EC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C6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5A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38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27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E65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58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8E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0EF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50FE5">
            <w:pPr>
              <w:jc w:val="center"/>
            </w:pPr>
            <w:r>
              <w:rPr>
                <w:rFonts w:ascii="宋体" w:hAnsi="宋体" w:eastAsia="宋体"/>
                <w:sz w:val="16"/>
              </w:rPr>
              <w:t>偏差原因分析及改进措施</w:t>
            </w:r>
          </w:p>
        </w:tc>
      </w:tr>
      <w:tr w14:paraId="768BEC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E33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E4F0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F0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C92D">
            <w:pPr>
              <w:jc w:val="center"/>
            </w:pPr>
            <w:r>
              <w:rPr>
                <w:rFonts w:ascii="宋体" w:hAnsi="宋体" w:eastAsia="宋体"/>
                <w:sz w:val="16"/>
              </w:rPr>
              <w:t>经费保障机构数量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530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A1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14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0B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A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3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799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BA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7CCE4">
            <w:pPr>
              <w:jc w:val="center"/>
            </w:pPr>
          </w:p>
        </w:tc>
      </w:tr>
      <w:tr w14:paraId="76651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954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23C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4E9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BF85">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B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2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0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B0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28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E8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A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2A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C8EE">
            <w:pPr>
              <w:jc w:val="center"/>
            </w:pPr>
          </w:p>
        </w:tc>
      </w:tr>
      <w:tr w14:paraId="60AA2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8A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8D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1C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AE5A">
            <w:pPr>
              <w:jc w:val="center"/>
            </w:pPr>
            <w:r>
              <w:rPr>
                <w:rFonts w:ascii="宋体" w:hAnsi="宋体" w:eastAsia="宋体"/>
                <w:sz w:val="16"/>
              </w:rPr>
              <w:t>经费使用合规性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1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4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0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98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D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6B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B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13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FA7BB">
            <w:pPr>
              <w:jc w:val="center"/>
            </w:pPr>
          </w:p>
        </w:tc>
      </w:tr>
      <w:tr w14:paraId="508B65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F7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102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22F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881B">
            <w:pPr>
              <w:jc w:val="center"/>
            </w:pPr>
            <w:r>
              <w:rPr>
                <w:rFonts w:ascii="宋体" w:hAnsi="宋体" w:eastAsia="宋体"/>
                <w:sz w:val="16"/>
              </w:rPr>
              <w:t>经费按期支付及时性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4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76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5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2C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67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16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3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72B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66AA">
            <w:pPr>
              <w:jc w:val="center"/>
            </w:pPr>
          </w:p>
        </w:tc>
      </w:tr>
      <w:tr w14:paraId="30C64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EE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979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14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B72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C0A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B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4CDF">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9F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10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39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7789">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D4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EF3C9">
            <w:pPr>
              <w:jc w:val="center"/>
            </w:pPr>
          </w:p>
        </w:tc>
      </w:tr>
      <w:tr w14:paraId="747E8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A4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34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3E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3965">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A85E">
            <w:pPr>
              <w:jc w:val="center"/>
            </w:pPr>
            <w:r>
              <w:rPr>
                <w:rFonts w:ascii="宋体" w:hAnsi="宋体" w:eastAsia="宋体"/>
                <w:sz w:val="16"/>
              </w:rPr>
              <w:t>&lt;=197.9万元/个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26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D70C">
            <w:pPr>
              <w:jc w:val="center"/>
            </w:pPr>
            <w:r>
              <w:rPr>
                <w:rFonts w:ascii="宋体" w:hAnsi="宋体" w:eastAsia="宋体"/>
                <w:sz w:val="16"/>
              </w:rPr>
              <w:t>286.1万元/个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1F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50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F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7EA3">
            <w:pPr>
              <w:jc w:val="center"/>
            </w:pPr>
            <w:r>
              <w:rPr>
                <w:rFonts w:ascii="宋体" w:hAnsi="宋体" w:eastAsia="宋体"/>
                <w:sz w:val="16"/>
              </w:rPr>
              <w:t>=197.9万元/个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FBA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63CBE">
            <w:pPr>
              <w:jc w:val="center"/>
            </w:pPr>
          </w:p>
        </w:tc>
      </w:tr>
      <w:tr w14:paraId="58CC5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273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E1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77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190B">
            <w:pPr>
              <w:jc w:val="center"/>
            </w:pPr>
            <w:r>
              <w:rPr>
                <w:rFonts w:ascii="宋体" w:hAnsi="宋体" w:eastAsia="宋体"/>
                <w:sz w:val="16"/>
              </w:rPr>
              <w:t>确保县城的亮化工程，提高道路通行能力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797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E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F99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848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A8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E2A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5AD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D92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B9C9">
            <w:pPr>
              <w:jc w:val="center"/>
            </w:pPr>
          </w:p>
        </w:tc>
      </w:tr>
      <w:tr w14:paraId="54E1F4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98A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0C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2F0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41C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15DEF8"/>
        </w:tc>
      </w:tr>
    </w:tbl>
    <w:p w14:paraId="42F12C04">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00"/>
        <w:gridCol w:w="857"/>
        <w:gridCol w:w="633"/>
        <w:gridCol w:w="573"/>
        <w:gridCol w:w="631"/>
      </w:tblGrid>
      <w:tr w14:paraId="51D89096">
        <w:tblPrEx>
          <w:tblCellMar>
            <w:top w:w="0" w:type="dxa"/>
            <w:left w:w="108" w:type="dxa"/>
            <w:bottom w:w="0" w:type="dxa"/>
            <w:right w:w="108" w:type="dxa"/>
          </w:tblCellMar>
        </w:tblPrEx>
        <w:tc>
          <w:tcPr>
            <w:tcW w:w="8848" w:type="dxa"/>
            <w:gridSpan w:val="14"/>
            <w:vAlign w:val="center"/>
          </w:tcPr>
          <w:p w14:paraId="761B5941">
            <w:pPr>
              <w:jc w:val="center"/>
            </w:pPr>
            <w:r>
              <w:rPr>
                <w:rFonts w:ascii="宋体" w:hAnsi="宋体" w:eastAsia="宋体"/>
                <w:sz w:val="24"/>
              </w:rPr>
              <w:t>项目支出绩效自评表</w:t>
            </w:r>
          </w:p>
        </w:tc>
      </w:tr>
      <w:tr w14:paraId="43340096">
        <w:tblPrEx>
          <w:tblCellMar>
            <w:top w:w="0" w:type="dxa"/>
            <w:left w:w="108" w:type="dxa"/>
            <w:bottom w:w="0" w:type="dxa"/>
            <w:right w:w="108" w:type="dxa"/>
          </w:tblCellMar>
        </w:tblPrEx>
        <w:tc>
          <w:tcPr>
            <w:tcW w:w="8848" w:type="dxa"/>
            <w:gridSpan w:val="14"/>
            <w:vAlign w:val="center"/>
          </w:tcPr>
          <w:p w14:paraId="567F9F5C">
            <w:pPr>
              <w:jc w:val="center"/>
            </w:pPr>
            <w:r>
              <w:rPr>
                <w:rFonts w:ascii="宋体" w:hAnsi="宋体" w:eastAsia="宋体"/>
                <w:sz w:val="24"/>
              </w:rPr>
              <w:t>(2024年度)</w:t>
            </w:r>
          </w:p>
        </w:tc>
      </w:tr>
      <w:tr w14:paraId="63006A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A2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BA6DF7">
            <w:pPr>
              <w:jc w:val="center"/>
            </w:pPr>
            <w:r>
              <w:rPr>
                <w:rFonts w:ascii="宋体" w:hAnsi="宋体" w:eastAsia="宋体"/>
                <w:sz w:val="16"/>
              </w:rPr>
              <w:t>岳普湖县清洁环卫服务费项目</w:t>
            </w:r>
          </w:p>
        </w:tc>
      </w:tr>
      <w:tr w14:paraId="5BC71A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9B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4626B">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D7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2C6C94">
            <w:pPr>
              <w:jc w:val="center"/>
            </w:pPr>
            <w:r>
              <w:rPr>
                <w:rFonts w:ascii="宋体" w:hAnsi="宋体" w:eastAsia="宋体"/>
                <w:sz w:val="16"/>
              </w:rPr>
              <w:t>岳普湖县住房和城乡建设局</w:t>
            </w:r>
          </w:p>
        </w:tc>
      </w:tr>
      <w:tr w14:paraId="4EE546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775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FC5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8E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AC7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BD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192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7BC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E306">
            <w:pPr>
              <w:jc w:val="center"/>
            </w:pPr>
            <w:r>
              <w:rPr>
                <w:rFonts w:ascii="宋体" w:hAnsi="宋体" w:eastAsia="宋体"/>
                <w:sz w:val="16"/>
              </w:rPr>
              <w:t>得分</w:t>
            </w:r>
          </w:p>
        </w:tc>
      </w:tr>
      <w:tr w14:paraId="7A3F4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DA7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15C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B3AA">
            <w:pPr>
              <w:jc w:val="center"/>
            </w:pPr>
            <w:r>
              <w:rPr>
                <w:rFonts w:ascii="宋体" w:hAnsi="宋体" w:eastAsia="宋体"/>
                <w:sz w:val="16"/>
              </w:rPr>
              <w:t>106.58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77BC2">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7CBDB">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81C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897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34B9">
            <w:pPr>
              <w:jc w:val="center"/>
            </w:pPr>
            <w:r>
              <w:rPr>
                <w:rFonts w:ascii="宋体" w:hAnsi="宋体" w:eastAsia="宋体"/>
                <w:sz w:val="16"/>
              </w:rPr>
              <w:t>10.00分</w:t>
            </w:r>
          </w:p>
        </w:tc>
      </w:tr>
      <w:tr w14:paraId="38BDD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91B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187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8FC3A">
            <w:pPr>
              <w:jc w:val="center"/>
            </w:pPr>
            <w:r>
              <w:rPr>
                <w:rFonts w:ascii="宋体" w:hAnsi="宋体" w:eastAsia="宋体"/>
                <w:sz w:val="16"/>
              </w:rPr>
              <w:t>106.58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4058B">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A4AE5">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6D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51A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9442">
            <w:pPr>
              <w:jc w:val="center"/>
            </w:pPr>
            <w:r>
              <w:rPr>
                <w:rFonts w:ascii="宋体" w:hAnsi="宋体" w:eastAsia="宋体"/>
                <w:sz w:val="16"/>
              </w:rPr>
              <w:t>—</w:t>
            </w:r>
          </w:p>
        </w:tc>
      </w:tr>
      <w:tr w14:paraId="4A5D3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18E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730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7C3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729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F78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51D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8D89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F295">
            <w:pPr>
              <w:jc w:val="center"/>
            </w:pPr>
            <w:r>
              <w:rPr>
                <w:rFonts w:ascii="宋体" w:hAnsi="宋体" w:eastAsia="宋体"/>
                <w:sz w:val="16"/>
              </w:rPr>
              <w:t>—</w:t>
            </w:r>
          </w:p>
        </w:tc>
      </w:tr>
      <w:tr w14:paraId="29B920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8E8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D78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CC82E5">
            <w:pPr>
              <w:jc w:val="center"/>
            </w:pPr>
            <w:r>
              <w:rPr>
                <w:rFonts w:ascii="宋体" w:hAnsi="宋体" w:eastAsia="宋体"/>
                <w:sz w:val="16"/>
              </w:rPr>
              <w:t>实际完成情况</w:t>
            </w:r>
          </w:p>
        </w:tc>
      </w:tr>
      <w:tr w14:paraId="0F9BE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732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91ACA">
            <w:pPr>
              <w:jc w:val="both"/>
            </w:pPr>
            <w:r>
              <w:rPr>
                <w:rFonts w:ascii="宋体" w:hAnsi="宋体" w:eastAsia="宋体"/>
                <w:sz w:val="16"/>
              </w:rPr>
              <w:t>为进一步提升县城城乡环卫一体化工作水平，为48名环卫工人发放1-6月工资补助，对新老城区县域的环境卫生进行清洁。项目的实施有利于提升县域居民生活质量和生活环境。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ABA7D">
            <w:pPr>
              <w:jc w:val="both"/>
            </w:pPr>
            <w:r>
              <w:rPr>
                <w:rFonts w:ascii="宋体" w:hAnsi="宋体" w:eastAsia="宋体"/>
                <w:sz w:val="16"/>
              </w:rPr>
              <w:t>现阶段为48名环卫工人发放1-6月工资补助，预算执行率为100%。项目实施进一步提升县城城乡环卫一体化工作水平，对新老城区县域的环境卫生进行清洁。有利于提升县域居民生活质量和生活环境。受益环卫人员满意度100%。</w:t>
            </w:r>
          </w:p>
        </w:tc>
      </w:tr>
      <w:tr w14:paraId="586F0E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B38A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D6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52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4A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6F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EE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48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4A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3B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69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BD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71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50EF6">
            <w:pPr>
              <w:jc w:val="center"/>
            </w:pPr>
            <w:r>
              <w:rPr>
                <w:rFonts w:ascii="宋体" w:hAnsi="宋体" w:eastAsia="宋体"/>
                <w:sz w:val="16"/>
              </w:rPr>
              <w:t>偏差原因分析及改进措施</w:t>
            </w:r>
          </w:p>
        </w:tc>
      </w:tr>
      <w:tr w14:paraId="65689F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A05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1AD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31C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4A22">
            <w:pPr>
              <w:jc w:val="center"/>
            </w:pPr>
            <w:r>
              <w:rPr>
                <w:rFonts w:ascii="宋体" w:hAnsi="宋体" w:eastAsia="宋体"/>
                <w:sz w:val="16"/>
              </w:rPr>
              <w:t>发放补助环卫工人数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67AE">
            <w:pPr>
              <w:jc w:val="center"/>
            </w:pPr>
            <w:r>
              <w:rPr>
                <w:rFonts w:ascii="宋体" w:hAnsi="宋体" w:eastAsia="宋体"/>
                <w:sz w:val="16"/>
              </w:rPr>
              <w:t>&gt;=48人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0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A1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A5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9B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6E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12D7">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FC4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86F0F">
            <w:pPr>
              <w:jc w:val="center"/>
            </w:pPr>
          </w:p>
        </w:tc>
      </w:tr>
      <w:tr w14:paraId="4F734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A4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D4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72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6795">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E067">
            <w:pPr>
              <w:jc w:val="center"/>
            </w:pPr>
            <w:r>
              <w:rPr>
                <w:rFonts w:ascii="宋体" w:hAnsi="宋体" w:eastAsia="宋体"/>
                <w:sz w:val="16"/>
              </w:rPr>
              <w:t>&gt;=6个月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B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F7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C3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36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F6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E48E">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034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109A">
            <w:pPr>
              <w:jc w:val="center"/>
            </w:pPr>
          </w:p>
        </w:tc>
      </w:tr>
      <w:tr w14:paraId="05AD6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DD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C67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9C5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4D0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A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2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49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78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C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15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F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DC8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4A2CD">
            <w:pPr>
              <w:jc w:val="center"/>
            </w:pPr>
          </w:p>
        </w:tc>
      </w:tr>
      <w:tr w14:paraId="71BB2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16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97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9B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5E4B">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5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6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C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D0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61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48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F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C73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0D92A">
            <w:pPr>
              <w:jc w:val="center"/>
            </w:pPr>
          </w:p>
        </w:tc>
      </w:tr>
      <w:tr w14:paraId="3C039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EEF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3BA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DB5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7A4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0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58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C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E6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7B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3F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B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6C9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F9D2A">
            <w:pPr>
              <w:jc w:val="center"/>
            </w:pPr>
          </w:p>
        </w:tc>
      </w:tr>
      <w:tr w14:paraId="733C0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646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B4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1F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763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7A75">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D1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21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B4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DA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2F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C573">
            <w:pPr>
              <w:jc w:val="center"/>
            </w:pPr>
            <w:r>
              <w:rPr>
                <w:rFonts w:ascii="宋体" w:hAnsi="宋体" w:eastAsia="宋体"/>
                <w:sz w:val="16"/>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50E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65D6">
            <w:pPr>
              <w:jc w:val="center"/>
            </w:pPr>
          </w:p>
        </w:tc>
      </w:tr>
      <w:tr w14:paraId="66120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88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1F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EA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BA29">
            <w:pPr>
              <w:jc w:val="center"/>
            </w:pPr>
            <w:r>
              <w:rPr>
                <w:rFonts w:ascii="宋体" w:hAnsi="宋体" w:eastAsia="宋体"/>
                <w:sz w:val="16"/>
              </w:rPr>
              <w:t>月均补助标准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2BBF">
            <w:pPr>
              <w:jc w:val="center"/>
            </w:pPr>
            <w:r>
              <w:rPr>
                <w:rFonts w:ascii="宋体" w:hAnsi="宋体" w:eastAsia="宋体"/>
                <w:sz w:val="16"/>
              </w:rPr>
              <w:t>&lt;=1850.34元/人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A9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68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F5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CC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7E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05B3">
            <w:pPr>
              <w:jc w:val="center"/>
            </w:pPr>
            <w:r>
              <w:rPr>
                <w:rFonts w:ascii="宋体" w:hAnsi="宋体" w:eastAsia="宋体"/>
                <w:sz w:val="16"/>
              </w:rPr>
              <w:t>=1850.34元/人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DB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1637D">
            <w:pPr>
              <w:jc w:val="center"/>
            </w:pPr>
          </w:p>
        </w:tc>
      </w:tr>
      <w:tr w14:paraId="694F2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5A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49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BC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89D5">
            <w:pPr>
              <w:jc w:val="center"/>
            </w:pPr>
            <w:r>
              <w:rPr>
                <w:rFonts w:ascii="宋体" w:hAnsi="宋体" w:eastAsia="宋体"/>
                <w:sz w:val="16"/>
              </w:rPr>
              <w:t>提升县域居民生活质量和生活环境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841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5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88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4C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4E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C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E6E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C2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950A1">
            <w:pPr>
              <w:jc w:val="center"/>
            </w:pPr>
          </w:p>
        </w:tc>
      </w:tr>
      <w:tr w14:paraId="104E4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6D5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60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46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E19B">
            <w:pPr>
              <w:jc w:val="center"/>
            </w:pPr>
            <w:r>
              <w:rPr>
                <w:rFonts w:ascii="宋体" w:hAnsi="宋体" w:eastAsia="宋体"/>
                <w:sz w:val="16"/>
              </w:rPr>
              <w:t>受益环卫人员满意度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370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94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35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B4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FE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3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2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B5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F50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81B55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25E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7F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C25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AE5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03F487"/>
        </w:tc>
      </w:tr>
    </w:tbl>
    <w:p w14:paraId="7FE8C8F3">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598"/>
        <w:gridCol w:w="619"/>
        <w:gridCol w:w="609"/>
        <w:gridCol w:w="598"/>
        <w:gridCol w:w="598"/>
        <w:gridCol w:w="856"/>
        <w:gridCol w:w="633"/>
        <w:gridCol w:w="569"/>
        <w:gridCol w:w="631"/>
      </w:tblGrid>
      <w:tr w14:paraId="141312C7">
        <w:tblPrEx>
          <w:tblCellMar>
            <w:top w:w="0" w:type="dxa"/>
            <w:left w:w="108" w:type="dxa"/>
            <w:bottom w:w="0" w:type="dxa"/>
            <w:right w:w="108" w:type="dxa"/>
          </w:tblCellMar>
        </w:tblPrEx>
        <w:tc>
          <w:tcPr>
            <w:tcW w:w="8848" w:type="dxa"/>
            <w:gridSpan w:val="14"/>
            <w:vAlign w:val="center"/>
          </w:tcPr>
          <w:p w14:paraId="275F766E">
            <w:pPr>
              <w:jc w:val="center"/>
            </w:pPr>
            <w:r>
              <w:rPr>
                <w:rFonts w:ascii="宋体" w:hAnsi="宋体" w:eastAsia="宋体"/>
                <w:sz w:val="24"/>
              </w:rPr>
              <w:t>项目支出绩效自评表</w:t>
            </w:r>
          </w:p>
        </w:tc>
      </w:tr>
      <w:tr w14:paraId="0D74A942">
        <w:tblPrEx>
          <w:tblCellMar>
            <w:top w:w="0" w:type="dxa"/>
            <w:left w:w="108" w:type="dxa"/>
            <w:bottom w:w="0" w:type="dxa"/>
            <w:right w:w="108" w:type="dxa"/>
          </w:tblCellMar>
        </w:tblPrEx>
        <w:tc>
          <w:tcPr>
            <w:tcW w:w="8848" w:type="dxa"/>
            <w:gridSpan w:val="14"/>
            <w:vAlign w:val="center"/>
          </w:tcPr>
          <w:p w14:paraId="3C9E8BC6">
            <w:pPr>
              <w:jc w:val="center"/>
            </w:pPr>
            <w:r>
              <w:rPr>
                <w:rFonts w:ascii="宋体" w:hAnsi="宋体" w:eastAsia="宋体"/>
                <w:sz w:val="24"/>
              </w:rPr>
              <w:t>(2024年度)</w:t>
            </w:r>
          </w:p>
        </w:tc>
      </w:tr>
      <w:tr w14:paraId="7DFB77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D3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626481">
            <w:pPr>
              <w:jc w:val="center"/>
            </w:pPr>
            <w:r>
              <w:rPr>
                <w:rFonts w:ascii="宋体" w:hAnsi="宋体" w:eastAsia="宋体"/>
                <w:sz w:val="16"/>
              </w:rPr>
              <w:t>岳普湖县绿化苗木管护项目</w:t>
            </w:r>
          </w:p>
        </w:tc>
      </w:tr>
      <w:tr w14:paraId="48774C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C4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D187A">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CC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E64C02">
            <w:pPr>
              <w:jc w:val="center"/>
            </w:pPr>
            <w:r>
              <w:rPr>
                <w:rFonts w:ascii="宋体" w:hAnsi="宋体" w:eastAsia="宋体"/>
                <w:sz w:val="16"/>
              </w:rPr>
              <w:t>岳普湖县住房和城乡建设局</w:t>
            </w:r>
          </w:p>
        </w:tc>
      </w:tr>
      <w:tr w14:paraId="453C33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3A8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7B6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84A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520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498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AD4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3DB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3F20">
            <w:pPr>
              <w:jc w:val="center"/>
            </w:pPr>
            <w:r>
              <w:rPr>
                <w:rFonts w:ascii="宋体" w:hAnsi="宋体" w:eastAsia="宋体"/>
                <w:sz w:val="16"/>
              </w:rPr>
              <w:t>得分</w:t>
            </w:r>
          </w:p>
        </w:tc>
      </w:tr>
      <w:tr w14:paraId="10CD8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1E1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2A3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DD8D">
            <w:pPr>
              <w:jc w:val="center"/>
            </w:pPr>
            <w:r>
              <w:rPr>
                <w:rFonts w:ascii="宋体" w:hAnsi="宋体" w:eastAsia="宋体"/>
                <w:sz w:val="16"/>
              </w:rPr>
              <w:t>178.78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A7297">
            <w:pPr>
              <w:jc w:val="center"/>
            </w:pPr>
            <w:r>
              <w:rPr>
                <w:rFonts w:ascii="宋体" w:hAnsi="宋体" w:eastAsia="宋体"/>
                <w:sz w:val="16"/>
              </w:rPr>
              <w:t>89.39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D07AD">
            <w:pPr>
              <w:jc w:val="center"/>
            </w:pPr>
            <w:r>
              <w:rPr>
                <w:rFonts w:ascii="宋体" w:hAnsi="宋体" w:eastAsia="宋体"/>
                <w:sz w:val="16"/>
              </w:rPr>
              <w:t>89.39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CEA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F36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8156">
            <w:pPr>
              <w:jc w:val="center"/>
            </w:pPr>
            <w:r>
              <w:rPr>
                <w:rFonts w:ascii="宋体" w:hAnsi="宋体" w:eastAsia="宋体"/>
                <w:sz w:val="16"/>
              </w:rPr>
              <w:t>10.00分</w:t>
            </w:r>
          </w:p>
        </w:tc>
      </w:tr>
      <w:tr w14:paraId="239DE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35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48C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B928E">
            <w:pPr>
              <w:jc w:val="center"/>
            </w:pPr>
            <w:r>
              <w:rPr>
                <w:rFonts w:ascii="宋体" w:hAnsi="宋体" w:eastAsia="宋体"/>
                <w:sz w:val="16"/>
              </w:rPr>
              <w:t>178.78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04D98">
            <w:pPr>
              <w:jc w:val="center"/>
            </w:pPr>
            <w:r>
              <w:rPr>
                <w:rFonts w:ascii="宋体" w:hAnsi="宋体" w:eastAsia="宋体"/>
                <w:sz w:val="16"/>
              </w:rPr>
              <w:t>89.39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D83D2">
            <w:pPr>
              <w:jc w:val="center"/>
            </w:pPr>
            <w:r>
              <w:rPr>
                <w:rFonts w:ascii="宋体" w:hAnsi="宋体" w:eastAsia="宋体"/>
                <w:sz w:val="16"/>
              </w:rPr>
              <w:t>89.39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189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845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F68C">
            <w:pPr>
              <w:jc w:val="center"/>
            </w:pPr>
            <w:r>
              <w:rPr>
                <w:rFonts w:ascii="宋体" w:hAnsi="宋体" w:eastAsia="宋体"/>
                <w:sz w:val="16"/>
              </w:rPr>
              <w:t>—</w:t>
            </w:r>
          </w:p>
        </w:tc>
      </w:tr>
      <w:tr w14:paraId="3FE8E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934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D5D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9B3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C8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554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219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C80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C5CE">
            <w:pPr>
              <w:jc w:val="center"/>
            </w:pPr>
            <w:r>
              <w:rPr>
                <w:rFonts w:ascii="宋体" w:hAnsi="宋体" w:eastAsia="宋体"/>
                <w:sz w:val="16"/>
              </w:rPr>
              <w:t>—</w:t>
            </w:r>
          </w:p>
        </w:tc>
      </w:tr>
      <w:tr w14:paraId="0EC3B6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0A1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1D2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3A0ECB">
            <w:pPr>
              <w:jc w:val="center"/>
            </w:pPr>
            <w:r>
              <w:rPr>
                <w:rFonts w:ascii="宋体" w:hAnsi="宋体" w:eastAsia="宋体"/>
                <w:sz w:val="16"/>
              </w:rPr>
              <w:t>实际完成情况</w:t>
            </w:r>
          </w:p>
        </w:tc>
      </w:tr>
      <w:tr w14:paraId="6955E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A1F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12B87">
            <w:pPr>
              <w:jc w:val="both"/>
            </w:pPr>
            <w:r>
              <w:rPr>
                <w:rFonts w:ascii="宋体" w:hAnsi="宋体" w:eastAsia="宋体"/>
                <w:sz w:val="16"/>
              </w:rPr>
              <w:t>为进一步提升县城绿化苗木管护水平，为79名环卫工人发放1-6月补助。提升县</w:t>
            </w:r>
            <w:r>
              <w:rPr>
                <w:rFonts w:hint="eastAsia" w:ascii="宋体" w:hAnsi="宋体"/>
                <w:sz w:val="16"/>
                <w:lang w:eastAsia="zh-CN"/>
              </w:rPr>
              <w:t>域居</w:t>
            </w:r>
            <w:r>
              <w:rPr>
                <w:rFonts w:ascii="宋体" w:hAnsi="宋体" w:eastAsia="宋体"/>
                <w:sz w:val="16"/>
              </w:rPr>
              <w:t>民生活质量和生活环境。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2D3F2">
            <w:pPr>
              <w:jc w:val="both"/>
            </w:pPr>
            <w:r>
              <w:rPr>
                <w:rFonts w:ascii="宋体" w:hAnsi="宋体" w:eastAsia="宋体"/>
                <w:sz w:val="16"/>
              </w:rPr>
              <w:t>现阶段为79名环卫工人发放1-6月补助。预算执行率为100%。项目的实施进一步提升县城绿化苗木管护水平提升县</w:t>
            </w:r>
            <w:r>
              <w:rPr>
                <w:rFonts w:hint="eastAsia" w:ascii="宋体" w:hAnsi="宋体"/>
                <w:sz w:val="16"/>
                <w:lang w:eastAsia="zh-CN"/>
              </w:rPr>
              <w:t>域居</w:t>
            </w:r>
            <w:r>
              <w:rPr>
                <w:rFonts w:ascii="宋体" w:hAnsi="宋体" w:eastAsia="宋体"/>
                <w:sz w:val="16"/>
              </w:rPr>
              <w:t>民生活质量和生活环境。受益环卫工满意度为100%。</w:t>
            </w:r>
          </w:p>
        </w:tc>
      </w:tr>
      <w:tr w14:paraId="149823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40F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E2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BF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01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F0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C3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6E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77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57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D0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B1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32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52516">
            <w:pPr>
              <w:jc w:val="center"/>
            </w:pPr>
            <w:r>
              <w:rPr>
                <w:rFonts w:ascii="宋体" w:hAnsi="宋体" w:eastAsia="宋体"/>
                <w:sz w:val="16"/>
              </w:rPr>
              <w:t>偏差原因分析及改进措施</w:t>
            </w:r>
          </w:p>
        </w:tc>
      </w:tr>
      <w:tr w14:paraId="27CC0E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55A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C07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952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B013">
            <w:pPr>
              <w:jc w:val="center"/>
            </w:pPr>
            <w:r>
              <w:rPr>
                <w:rFonts w:ascii="宋体" w:hAnsi="宋体" w:eastAsia="宋体"/>
                <w:sz w:val="16"/>
              </w:rPr>
              <w:t>发放补助环卫工人数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9521">
            <w:pPr>
              <w:jc w:val="center"/>
            </w:pPr>
            <w:r>
              <w:rPr>
                <w:rFonts w:ascii="宋体" w:hAnsi="宋体" w:eastAsia="宋体"/>
                <w:sz w:val="16"/>
              </w:rPr>
              <w:t>&gt;=79人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4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7F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02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2B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6D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C7C4">
            <w:pPr>
              <w:jc w:val="center"/>
            </w:pPr>
            <w:r>
              <w:rPr>
                <w:rFonts w:ascii="宋体" w:hAnsi="宋体" w:eastAsia="宋体"/>
                <w:sz w:val="16"/>
              </w:rPr>
              <w:t>=79人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599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32CA">
            <w:pPr>
              <w:jc w:val="center"/>
            </w:pPr>
          </w:p>
        </w:tc>
      </w:tr>
      <w:tr w14:paraId="22B28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2B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F8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91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AC29">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2ACD">
            <w:pPr>
              <w:jc w:val="center"/>
            </w:pPr>
            <w:r>
              <w:rPr>
                <w:rFonts w:ascii="宋体" w:hAnsi="宋体" w:eastAsia="宋体"/>
                <w:sz w:val="16"/>
              </w:rPr>
              <w:t>&gt;=6个月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9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37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98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8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BD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F166">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3F4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D01D1">
            <w:pPr>
              <w:jc w:val="center"/>
            </w:pPr>
          </w:p>
        </w:tc>
      </w:tr>
      <w:tr w14:paraId="360D4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FA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196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C11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5545">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B7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A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E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50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B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59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D5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44C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ED43">
            <w:pPr>
              <w:jc w:val="center"/>
            </w:pPr>
          </w:p>
        </w:tc>
      </w:tr>
      <w:tr w14:paraId="55245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02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729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E6D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455D">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3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6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B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16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1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E8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8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499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C264F">
            <w:pPr>
              <w:jc w:val="center"/>
            </w:pPr>
          </w:p>
        </w:tc>
      </w:tr>
      <w:tr w14:paraId="106B1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1A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687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F6C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B9A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C7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6C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E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F2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E8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34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2F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232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AAF3">
            <w:pPr>
              <w:jc w:val="center"/>
            </w:pPr>
          </w:p>
        </w:tc>
      </w:tr>
      <w:tr w14:paraId="245C3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86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AF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5F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B63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F740">
            <w:pPr>
              <w:jc w:val="center"/>
            </w:pPr>
            <w:r>
              <w:rPr>
                <w:rFonts w:ascii="宋体" w:hAnsi="宋体" w:eastAsia="宋体"/>
                <w:sz w:val="16"/>
              </w:rPr>
              <w:t>=</w:t>
            </w:r>
            <w:r>
              <w:rPr>
                <w:rFonts w:hint="eastAsia" w:ascii="宋体" w:hAnsi="宋体"/>
                <w:sz w:val="16"/>
                <w:lang w:eastAsia="zh-CN"/>
              </w:rPr>
              <w:t>2024年6月30日</w:t>
            </w:r>
            <w:r>
              <w:rPr>
                <w:rFonts w:ascii="宋体" w:hAnsi="宋体" w:eastAsia="宋体"/>
                <w:sz w:val="16"/>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2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D9F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1E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0E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D4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B1E2">
            <w:pPr>
              <w:jc w:val="center"/>
            </w:pPr>
            <w:r>
              <w:rPr>
                <w:rFonts w:ascii="宋体" w:hAnsi="宋体" w:eastAsia="宋体"/>
                <w:sz w:val="16"/>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746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7207">
            <w:pPr>
              <w:jc w:val="center"/>
            </w:pPr>
          </w:p>
        </w:tc>
      </w:tr>
      <w:tr w14:paraId="66735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92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EC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CB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94C2">
            <w:pPr>
              <w:jc w:val="center"/>
            </w:pPr>
            <w:r>
              <w:rPr>
                <w:rFonts w:ascii="宋体" w:hAnsi="宋体" w:eastAsia="宋体"/>
                <w:sz w:val="16"/>
              </w:rPr>
              <w:t>月补助平均标准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9144">
            <w:pPr>
              <w:jc w:val="center"/>
            </w:pPr>
            <w:r>
              <w:rPr>
                <w:rFonts w:ascii="宋体" w:hAnsi="宋体" w:eastAsia="宋体"/>
                <w:sz w:val="16"/>
              </w:rPr>
              <w:t>&lt;=1885.86元/人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7F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CE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63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9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78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6D7E">
            <w:pPr>
              <w:jc w:val="center"/>
            </w:pPr>
            <w:r>
              <w:rPr>
                <w:rFonts w:ascii="宋体" w:hAnsi="宋体" w:eastAsia="宋体"/>
                <w:sz w:val="16"/>
              </w:rPr>
              <w:t>=1885.86元/人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E45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C65BE">
            <w:pPr>
              <w:jc w:val="center"/>
            </w:pPr>
          </w:p>
        </w:tc>
      </w:tr>
      <w:tr w14:paraId="59A0FE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A1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E6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A5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672D6">
            <w:pPr>
              <w:jc w:val="center"/>
            </w:pPr>
            <w:r>
              <w:rPr>
                <w:rFonts w:ascii="宋体" w:hAnsi="宋体" w:eastAsia="宋体"/>
                <w:sz w:val="16"/>
              </w:rPr>
              <w:t>提升县</w:t>
            </w:r>
            <w:r>
              <w:rPr>
                <w:rFonts w:hint="eastAsia" w:ascii="宋体" w:hAnsi="宋体"/>
                <w:sz w:val="16"/>
                <w:lang w:eastAsia="zh-CN"/>
              </w:rPr>
              <w:t>域居</w:t>
            </w:r>
            <w:r>
              <w:rPr>
                <w:rFonts w:ascii="宋体" w:hAnsi="宋体" w:eastAsia="宋体"/>
                <w:sz w:val="16"/>
              </w:rPr>
              <w:t>民生活质量和生活环境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E63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2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B79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EE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94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66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198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7F4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D7B26">
            <w:pPr>
              <w:jc w:val="center"/>
            </w:pPr>
          </w:p>
        </w:tc>
      </w:tr>
      <w:tr w14:paraId="09CE3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1D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34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9B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400C">
            <w:pPr>
              <w:jc w:val="center"/>
            </w:pPr>
            <w:r>
              <w:rPr>
                <w:rFonts w:ascii="宋体" w:hAnsi="宋体" w:eastAsia="宋体"/>
                <w:sz w:val="16"/>
              </w:rPr>
              <w:t>受益环卫工满意度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FE3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F0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70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DE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C9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36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6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B2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1120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243DA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846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0E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25B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7D6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E15EF5"/>
        </w:tc>
      </w:tr>
    </w:tbl>
    <w:p w14:paraId="56A0B4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F0CF34">
        <w:tblPrEx>
          <w:tblCellMar>
            <w:top w:w="0" w:type="dxa"/>
            <w:left w:w="108" w:type="dxa"/>
            <w:bottom w:w="0" w:type="dxa"/>
            <w:right w:w="108" w:type="dxa"/>
          </w:tblCellMar>
        </w:tblPrEx>
        <w:tc>
          <w:tcPr>
            <w:tcW w:w="8848" w:type="dxa"/>
            <w:gridSpan w:val="14"/>
            <w:vAlign w:val="center"/>
          </w:tcPr>
          <w:p w14:paraId="70392F01">
            <w:pPr>
              <w:jc w:val="center"/>
            </w:pPr>
            <w:r>
              <w:rPr>
                <w:rFonts w:ascii="宋体" w:hAnsi="宋体" w:eastAsia="宋体"/>
                <w:sz w:val="24"/>
              </w:rPr>
              <w:t>项目支出绩效自评表</w:t>
            </w:r>
          </w:p>
        </w:tc>
      </w:tr>
      <w:tr w14:paraId="1DB8EB77">
        <w:tc>
          <w:tcPr>
            <w:tcW w:w="8848" w:type="dxa"/>
            <w:gridSpan w:val="14"/>
            <w:vAlign w:val="center"/>
          </w:tcPr>
          <w:p w14:paraId="04BC35F5">
            <w:pPr>
              <w:jc w:val="center"/>
            </w:pPr>
            <w:r>
              <w:rPr>
                <w:rFonts w:ascii="宋体" w:hAnsi="宋体" w:eastAsia="宋体"/>
                <w:sz w:val="24"/>
              </w:rPr>
              <w:t>(2024年度)</w:t>
            </w:r>
          </w:p>
        </w:tc>
      </w:tr>
      <w:tr w14:paraId="0B0C7C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D6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8B574A">
            <w:pPr>
              <w:jc w:val="center"/>
            </w:pPr>
            <w:r>
              <w:rPr>
                <w:rFonts w:ascii="宋体" w:hAnsi="宋体" w:eastAsia="宋体"/>
                <w:sz w:val="16"/>
              </w:rPr>
              <w:t>岳普湖城乡环卫一体化项目</w:t>
            </w:r>
          </w:p>
        </w:tc>
      </w:tr>
      <w:tr w14:paraId="643D2B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41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CF880">
            <w:pPr>
              <w:jc w:val="center"/>
            </w:pPr>
            <w:r>
              <w:rPr>
                <w:rFonts w:ascii="宋体" w:hAnsi="宋体" w:eastAsia="宋体"/>
                <w:sz w:val="16"/>
              </w:rPr>
              <w:t>岳普湖县住房和城乡建设局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1F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36C44E">
            <w:pPr>
              <w:jc w:val="center"/>
            </w:pPr>
            <w:r>
              <w:rPr>
                <w:rFonts w:ascii="宋体" w:hAnsi="宋体" w:eastAsia="宋体"/>
                <w:sz w:val="16"/>
              </w:rPr>
              <w:t>岳普湖县住房和城乡建设局</w:t>
            </w:r>
          </w:p>
        </w:tc>
      </w:tr>
      <w:tr w14:paraId="4416B2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193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F1C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BEE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DBB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45F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0A1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539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8792">
            <w:pPr>
              <w:jc w:val="center"/>
            </w:pPr>
            <w:r>
              <w:rPr>
                <w:rFonts w:ascii="宋体" w:hAnsi="宋体" w:eastAsia="宋体"/>
                <w:sz w:val="16"/>
              </w:rPr>
              <w:t>得分</w:t>
            </w:r>
          </w:p>
        </w:tc>
      </w:tr>
      <w:tr w14:paraId="0010B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764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F2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254A">
            <w:pPr>
              <w:jc w:val="center"/>
            </w:pPr>
            <w:r>
              <w:rPr>
                <w:rFonts w:ascii="宋体" w:hAnsi="宋体" w:eastAsia="宋体"/>
                <w:sz w:val="16"/>
              </w:rPr>
              <w:t>702.17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51550">
            <w:pPr>
              <w:jc w:val="center"/>
            </w:pPr>
            <w:r>
              <w:rPr>
                <w:rFonts w:ascii="宋体" w:hAnsi="宋体" w:eastAsia="宋体"/>
                <w:sz w:val="16"/>
              </w:rPr>
              <w:t>648.06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6EA36">
            <w:pPr>
              <w:jc w:val="center"/>
            </w:pPr>
            <w:r>
              <w:rPr>
                <w:rFonts w:ascii="宋体" w:hAnsi="宋体" w:eastAsia="宋体"/>
                <w:sz w:val="16"/>
              </w:rPr>
              <w:t>648.06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4E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AE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0B61">
            <w:pPr>
              <w:jc w:val="center"/>
            </w:pPr>
            <w:r>
              <w:rPr>
                <w:rFonts w:ascii="宋体" w:hAnsi="宋体" w:eastAsia="宋体"/>
                <w:sz w:val="16"/>
              </w:rPr>
              <w:t>10.00分</w:t>
            </w:r>
          </w:p>
        </w:tc>
      </w:tr>
      <w:tr w14:paraId="20963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363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6AB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4733">
            <w:pPr>
              <w:jc w:val="center"/>
            </w:pPr>
            <w:r>
              <w:rPr>
                <w:rFonts w:ascii="宋体" w:hAnsi="宋体" w:eastAsia="宋体"/>
                <w:sz w:val="16"/>
              </w:rPr>
              <w:t>702.17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951B5">
            <w:pPr>
              <w:jc w:val="center"/>
            </w:pPr>
            <w:r>
              <w:rPr>
                <w:rFonts w:ascii="宋体" w:hAnsi="宋体" w:eastAsia="宋体"/>
                <w:sz w:val="16"/>
              </w:rPr>
              <w:t>648.06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6ABE0">
            <w:pPr>
              <w:jc w:val="center"/>
            </w:pPr>
            <w:r>
              <w:rPr>
                <w:rFonts w:ascii="宋体" w:hAnsi="宋体" w:eastAsia="宋体"/>
                <w:sz w:val="16"/>
              </w:rPr>
              <w:t>648.06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D9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F1E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65FB">
            <w:pPr>
              <w:jc w:val="center"/>
            </w:pPr>
            <w:r>
              <w:rPr>
                <w:rFonts w:ascii="宋体" w:hAnsi="宋体" w:eastAsia="宋体"/>
                <w:sz w:val="16"/>
              </w:rPr>
              <w:t>—</w:t>
            </w:r>
          </w:p>
        </w:tc>
      </w:tr>
      <w:tr w14:paraId="12E49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639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4CB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03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22B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151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E31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8974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6122">
            <w:pPr>
              <w:jc w:val="center"/>
            </w:pPr>
            <w:r>
              <w:rPr>
                <w:rFonts w:ascii="宋体" w:hAnsi="宋体" w:eastAsia="宋体"/>
                <w:sz w:val="16"/>
              </w:rPr>
              <w:t>—</w:t>
            </w:r>
          </w:p>
        </w:tc>
      </w:tr>
      <w:tr w14:paraId="6DD335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2DF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C72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1ABBC3">
            <w:pPr>
              <w:jc w:val="center"/>
            </w:pPr>
            <w:r>
              <w:rPr>
                <w:rFonts w:ascii="宋体" w:hAnsi="宋体" w:eastAsia="宋体"/>
                <w:sz w:val="16"/>
              </w:rPr>
              <w:t>实际完成情况</w:t>
            </w:r>
          </w:p>
        </w:tc>
      </w:tr>
      <w:tr w14:paraId="076D0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9E6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FA53A3">
            <w:pPr>
              <w:jc w:val="both"/>
            </w:pPr>
            <w:r>
              <w:rPr>
                <w:rFonts w:ascii="宋体" w:hAnsi="宋体" w:eastAsia="宋体"/>
                <w:sz w:val="16"/>
              </w:rPr>
              <w:t>对县城内180万平方米主要道路进行保洁，对城区、乡镇垃圾进行清运填埋。项目的实施有利于提升县域居民生活质量和生活环境。有效改善县域整体的生态环境。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1BDE0">
            <w:pPr>
              <w:jc w:val="both"/>
            </w:pPr>
            <w:r>
              <w:rPr>
                <w:rFonts w:ascii="宋体" w:hAnsi="宋体" w:eastAsia="宋体"/>
                <w:sz w:val="16"/>
              </w:rPr>
              <w:t>已完成对县城内180万平方米主要道路进行保洁，对城区、乡镇垃圾进行清运填埋。预算执行率为100%。项目的实施有利于提升县域居民生活质量和生活环境。有效改善县域整体的生态环境。城乡居民满意度为100%。</w:t>
            </w:r>
          </w:p>
        </w:tc>
      </w:tr>
      <w:tr w14:paraId="47BECA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DA9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AE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D8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64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5E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92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43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16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39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6A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8B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F6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DCC5C">
            <w:pPr>
              <w:jc w:val="center"/>
            </w:pPr>
            <w:r>
              <w:rPr>
                <w:rFonts w:ascii="宋体" w:hAnsi="宋体" w:eastAsia="宋体"/>
                <w:sz w:val="16"/>
              </w:rPr>
              <w:t>偏差原因分析及改进措施</w:t>
            </w:r>
          </w:p>
        </w:tc>
      </w:tr>
      <w:tr w14:paraId="06AFC3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DE5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194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53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F076">
            <w:pPr>
              <w:jc w:val="center"/>
            </w:pPr>
            <w:r>
              <w:rPr>
                <w:rFonts w:ascii="宋体" w:hAnsi="宋体" w:eastAsia="宋体"/>
                <w:sz w:val="16"/>
              </w:rPr>
              <w:t>县域内清洁面积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1F36">
            <w:pPr>
              <w:jc w:val="center"/>
            </w:pPr>
            <w:r>
              <w:rPr>
                <w:rFonts w:ascii="宋体" w:hAnsi="宋体" w:eastAsia="宋体"/>
                <w:sz w:val="16"/>
              </w:rPr>
              <w:t>&gt;=180万平方米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3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E3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8C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D2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4B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1D86">
            <w:pPr>
              <w:jc w:val="center"/>
            </w:pPr>
            <w:r>
              <w:rPr>
                <w:rFonts w:ascii="宋体" w:hAnsi="宋体" w:eastAsia="宋体"/>
                <w:sz w:val="16"/>
              </w:rPr>
              <w:t>=180万平方米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A50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2959">
            <w:pPr>
              <w:jc w:val="center"/>
            </w:pPr>
          </w:p>
        </w:tc>
      </w:tr>
      <w:tr w14:paraId="0955B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7F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8E5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6C1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6C1C">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0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43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80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29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9D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1E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0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52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D818">
            <w:pPr>
              <w:jc w:val="center"/>
            </w:pPr>
          </w:p>
        </w:tc>
      </w:tr>
      <w:tr w14:paraId="75FB446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33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51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82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F5B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1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B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E6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A0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F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15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8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1F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658DF">
            <w:pPr>
              <w:jc w:val="center"/>
            </w:pPr>
          </w:p>
        </w:tc>
      </w:tr>
      <w:tr w14:paraId="0652B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896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486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E99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C0F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0B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F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5A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92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5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EA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F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FC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61642">
            <w:pPr>
              <w:jc w:val="center"/>
            </w:pPr>
          </w:p>
        </w:tc>
      </w:tr>
      <w:tr w14:paraId="0F9B5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98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42E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408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7D3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8D2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A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36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B6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92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02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767E">
            <w:pPr>
              <w:jc w:val="center"/>
            </w:pPr>
            <w:r>
              <w:rPr>
                <w:rFonts w:ascii="宋体" w:hAnsi="宋体" w:eastAsia="宋体"/>
                <w:sz w:val="16"/>
              </w:rPr>
              <w:t>=2024年9月10日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A5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A4DED">
            <w:pPr>
              <w:jc w:val="center"/>
            </w:pPr>
          </w:p>
        </w:tc>
      </w:tr>
      <w:tr w14:paraId="7D101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AA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650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D8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B6AB">
            <w:pPr>
              <w:jc w:val="center"/>
            </w:pPr>
            <w:r>
              <w:rPr>
                <w:rFonts w:ascii="宋体" w:hAnsi="宋体" w:eastAsia="宋体"/>
                <w:sz w:val="16"/>
              </w:rPr>
              <w:t>城区保洁费用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FB9E">
            <w:pPr>
              <w:jc w:val="center"/>
            </w:pPr>
            <w:r>
              <w:rPr>
                <w:rFonts w:ascii="宋体" w:hAnsi="宋体" w:eastAsia="宋体"/>
                <w:sz w:val="16"/>
              </w:rPr>
              <w:t>&lt;=3.6元/平方米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D5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50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0C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2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F8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F2CF">
            <w:pPr>
              <w:jc w:val="center"/>
            </w:pPr>
            <w:r>
              <w:rPr>
                <w:rFonts w:ascii="宋体" w:hAnsi="宋体" w:eastAsia="宋体"/>
                <w:sz w:val="16"/>
              </w:rPr>
              <w:t>=3.6元/平方米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73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3F6AE">
            <w:pPr>
              <w:jc w:val="center"/>
            </w:pPr>
          </w:p>
        </w:tc>
      </w:tr>
      <w:tr w14:paraId="77E67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66B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4D0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8F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05E8">
            <w:pPr>
              <w:jc w:val="center"/>
            </w:pPr>
            <w:r>
              <w:rPr>
                <w:rFonts w:ascii="宋体" w:hAnsi="宋体" w:eastAsia="宋体"/>
                <w:sz w:val="16"/>
              </w:rPr>
              <w:t>提升县域居民生活质量和生活环境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3B3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F0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6C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F2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C1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1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9B7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36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41B72">
            <w:pPr>
              <w:jc w:val="center"/>
            </w:pPr>
          </w:p>
        </w:tc>
      </w:tr>
      <w:tr w14:paraId="5E4F0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FE1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12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049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CA30">
            <w:pPr>
              <w:jc w:val="center"/>
            </w:pPr>
            <w:r>
              <w:rPr>
                <w:rFonts w:ascii="宋体" w:hAnsi="宋体" w:eastAsia="宋体"/>
                <w:sz w:val="16"/>
              </w:rPr>
              <w:t>改善县域整体的生态环境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1E9E">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0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6F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4E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F4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AA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7EA6">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1E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F0D4">
            <w:pPr>
              <w:jc w:val="center"/>
            </w:pPr>
          </w:p>
        </w:tc>
      </w:tr>
      <w:tr w14:paraId="3012B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AC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90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8D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107F">
            <w:pPr>
              <w:jc w:val="center"/>
            </w:pPr>
            <w:r>
              <w:rPr>
                <w:rFonts w:ascii="宋体" w:hAnsi="宋体" w:eastAsia="宋体"/>
                <w:sz w:val="16"/>
              </w:rPr>
              <w:t>城乡居民满意度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6B4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3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DD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0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DF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9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D7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2D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296F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B3F53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57E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D4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D70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54B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E6A004"/>
        </w:tc>
      </w:tr>
    </w:tbl>
    <w:p w14:paraId="2A4FB52C">
      <w:r>
        <w:br w:type="page"/>
      </w:r>
    </w:p>
    <w:p w14:paraId="06E7B0C7">
      <w:pPr>
        <w:spacing w:line="640" w:lineRule="exact"/>
        <w:ind w:firstLine="640"/>
        <w:jc w:val="both"/>
        <w:outlineLvl w:val="2"/>
      </w:pPr>
      <w:r>
        <w:rPr>
          <w:rFonts w:ascii="黑体" w:hAnsi="黑体" w:eastAsia="黑体"/>
          <w:sz w:val="32"/>
        </w:rPr>
        <w:t>十二、其他需说明的事项</w:t>
      </w:r>
    </w:p>
    <w:p w14:paraId="3D2A4635">
      <w:pPr>
        <w:spacing w:line="580" w:lineRule="exact"/>
        <w:ind w:firstLine="640"/>
        <w:jc w:val="both"/>
      </w:pPr>
      <w:r>
        <w:rPr>
          <w:rFonts w:ascii="仿宋_GB2312" w:hAnsi="仿宋_GB2312" w:eastAsia="仿宋_GB2312"/>
          <w:b w:val="0"/>
          <w:sz w:val="32"/>
        </w:rPr>
        <w:t>本单位无其他需说明的事项。</w:t>
      </w:r>
    </w:p>
    <w:p w14:paraId="1FBB0403">
      <w:r>
        <w:br w:type="page"/>
      </w:r>
    </w:p>
    <w:p w14:paraId="5D407AFE">
      <w:pPr>
        <w:spacing w:line="240" w:lineRule="auto"/>
        <w:jc w:val="center"/>
        <w:outlineLvl w:val="1"/>
      </w:pPr>
      <w:r>
        <w:rPr>
          <w:rFonts w:ascii="黑体" w:hAnsi="黑体" w:eastAsia="黑体"/>
          <w:sz w:val="32"/>
        </w:rPr>
        <w:t>第三部分 专业名词解释</w:t>
      </w:r>
    </w:p>
    <w:p w14:paraId="4E88CB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653F74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5EEA8F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8AD82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61148A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C9EA8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46361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0B2E6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E9E1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81091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9EEDAA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B7E96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1C17E2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40F9B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B4CF0B9">
      <w:r>
        <w:br w:type="page"/>
      </w:r>
    </w:p>
    <w:p w14:paraId="2F089159">
      <w:pPr>
        <w:spacing w:line="240" w:lineRule="auto"/>
        <w:jc w:val="center"/>
        <w:outlineLvl w:val="1"/>
      </w:pPr>
      <w:r>
        <w:rPr>
          <w:rFonts w:ascii="黑体" w:hAnsi="黑体" w:eastAsia="黑体"/>
          <w:sz w:val="32"/>
        </w:rPr>
        <w:t>第四部分 部门决算报表（见附表）</w:t>
      </w:r>
    </w:p>
    <w:p w14:paraId="321B5180">
      <w:pPr>
        <w:spacing w:line="240" w:lineRule="auto"/>
        <w:ind w:firstLine="640"/>
        <w:jc w:val="both"/>
      </w:pPr>
      <w:r>
        <w:rPr>
          <w:rFonts w:ascii="仿宋_GB2312" w:hAnsi="仿宋_GB2312" w:eastAsia="仿宋_GB2312"/>
          <w:b w:val="0"/>
          <w:sz w:val="32"/>
        </w:rPr>
        <w:t>一、《收入支出决算总表》</w:t>
      </w:r>
    </w:p>
    <w:p w14:paraId="410DB3DB">
      <w:pPr>
        <w:spacing w:line="240" w:lineRule="auto"/>
        <w:ind w:firstLine="640"/>
        <w:jc w:val="both"/>
      </w:pPr>
      <w:r>
        <w:rPr>
          <w:rFonts w:ascii="仿宋_GB2312" w:hAnsi="仿宋_GB2312" w:eastAsia="仿宋_GB2312"/>
          <w:b w:val="0"/>
          <w:sz w:val="32"/>
        </w:rPr>
        <w:t>二、《收入决算表》</w:t>
      </w:r>
    </w:p>
    <w:p w14:paraId="54029CAB">
      <w:pPr>
        <w:spacing w:line="240" w:lineRule="auto"/>
        <w:ind w:firstLine="640"/>
        <w:jc w:val="both"/>
      </w:pPr>
      <w:r>
        <w:rPr>
          <w:rFonts w:ascii="仿宋_GB2312" w:hAnsi="仿宋_GB2312" w:eastAsia="仿宋_GB2312"/>
          <w:b w:val="0"/>
          <w:sz w:val="32"/>
        </w:rPr>
        <w:t>三、《支出决算表》</w:t>
      </w:r>
    </w:p>
    <w:p w14:paraId="1B694A42">
      <w:pPr>
        <w:spacing w:line="240" w:lineRule="auto"/>
        <w:ind w:firstLine="640"/>
        <w:jc w:val="both"/>
      </w:pPr>
      <w:r>
        <w:rPr>
          <w:rFonts w:ascii="仿宋_GB2312" w:hAnsi="仿宋_GB2312" w:eastAsia="仿宋_GB2312"/>
          <w:b w:val="0"/>
          <w:sz w:val="32"/>
        </w:rPr>
        <w:t>四、《财政拨款收入支出决算总表》</w:t>
      </w:r>
    </w:p>
    <w:p w14:paraId="4BA1452D">
      <w:pPr>
        <w:spacing w:line="240" w:lineRule="auto"/>
        <w:ind w:firstLine="640"/>
        <w:jc w:val="both"/>
      </w:pPr>
      <w:r>
        <w:rPr>
          <w:rFonts w:ascii="仿宋_GB2312" w:hAnsi="仿宋_GB2312" w:eastAsia="仿宋_GB2312"/>
          <w:b w:val="0"/>
          <w:sz w:val="32"/>
        </w:rPr>
        <w:t>五、《一般公共预算财政拨款支出决算表》</w:t>
      </w:r>
    </w:p>
    <w:p w14:paraId="06AF2C05">
      <w:pPr>
        <w:spacing w:line="240" w:lineRule="auto"/>
        <w:ind w:firstLine="640"/>
        <w:jc w:val="both"/>
      </w:pPr>
      <w:r>
        <w:rPr>
          <w:rFonts w:ascii="仿宋_GB2312" w:hAnsi="仿宋_GB2312" w:eastAsia="仿宋_GB2312"/>
          <w:b w:val="0"/>
          <w:sz w:val="32"/>
        </w:rPr>
        <w:t>六、《一般公共预算财政拨款基本支出决算表》</w:t>
      </w:r>
    </w:p>
    <w:p w14:paraId="1C17C0FC">
      <w:pPr>
        <w:spacing w:line="240" w:lineRule="auto"/>
        <w:ind w:firstLine="640"/>
        <w:jc w:val="both"/>
      </w:pPr>
      <w:r>
        <w:rPr>
          <w:rFonts w:ascii="仿宋_GB2312" w:hAnsi="仿宋_GB2312" w:eastAsia="仿宋_GB2312"/>
          <w:b w:val="0"/>
          <w:sz w:val="32"/>
        </w:rPr>
        <w:t>七、《政府性基金预算财政拨款收入支出决算表》</w:t>
      </w:r>
    </w:p>
    <w:p w14:paraId="3B80E2BA">
      <w:pPr>
        <w:spacing w:line="240" w:lineRule="auto"/>
        <w:ind w:firstLine="640"/>
        <w:jc w:val="both"/>
      </w:pPr>
      <w:r>
        <w:rPr>
          <w:rFonts w:ascii="仿宋_GB2312" w:hAnsi="仿宋_GB2312" w:eastAsia="仿宋_GB2312"/>
          <w:b w:val="0"/>
          <w:sz w:val="32"/>
        </w:rPr>
        <w:t>八、《国有资本经营预算财政拨款收入支出决算表》</w:t>
      </w:r>
    </w:p>
    <w:p w14:paraId="6EE6157D">
      <w:pPr>
        <w:spacing w:line="240" w:lineRule="auto"/>
        <w:ind w:firstLine="640"/>
        <w:jc w:val="both"/>
      </w:pPr>
      <w:r>
        <w:rPr>
          <w:rFonts w:ascii="仿宋_GB2312" w:hAnsi="仿宋_GB2312" w:eastAsia="仿宋_GB2312"/>
          <w:b w:val="0"/>
          <w:sz w:val="32"/>
        </w:rPr>
        <w:t>九、《财政拨款“三公”经费支出决算表》</w:t>
      </w:r>
    </w:p>
    <w:p w14:paraId="79E7BC08">
      <w:pPr>
        <w:spacing w:line="240" w:lineRule="auto"/>
        <w:ind w:firstLine="640"/>
        <w:jc w:val="both"/>
      </w:pPr>
    </w:p>
    <w:p w14:paraId="36122BF2">
      <w:pPr>
        <w:spacing w:line="240" w:lineRule="auto"/>
        <w:ind w:firstLine="640"/>
        <w:jc w:val="both"/>
      </w:pPr>
    </w:p>
    <w:p w14:paraId="298B3199">
      <w:pPr>
        <w:spacing w:line="240" w:lineRule="auto"/>
        <w:ind w:firstLine="640"/>
        <w:jc w:val="both"/>
      </w:pPr>
    </w:p>
    <w:p w14:paraId="2774C2FA">
      <w:pPr>
        <w:spacing w:line="240" w:lineRule="auto"/>
        <w:ind w:firstLine="640"/>
        <w:jc w:val="both"/>
      </w:pPr>
    </w:p>
    <w:p w14:paraId="18EA0D3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0DA284-8C42-4854-877C-5863701823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E967332-CB09-47A9-BCAC-F4AA964242C7}"/>
  </w:font>
  <w:font w:name="仿宋_GB2312">
    <w:panose1 w:val="02010609030101010101"/>
    <w:charset w:val="86"/>
    <w:family w:val="modern"/>
    <w:pitch w:val="default"/>
    <w:sig w:usb0="00000001" w:usb1="080E0000" w:usb2="00000000" w:usb3="00000000" w:csb0="00040000" w:csb1="00000000"/>
    <w:embedRegular r:id="rId3" w:fontKey="{2FA28F0B-4436-48D2-85A7-8AF29D10E7ED}"/>
  </w:font>
  <w:font w:name="楷体_GB2312">
    <w:panose1 w:val="02010609030101010101"/>
    <w:charset w:val="86"/>
    <w:family w:val="auto"/>
    <w:pitch w:val="default"/>
    <w:sig w:usb0="00000001" w:usb1="080E0000" w:usb2="00000000" w:usb3="00000000" w:csb0="00040000" w:csb1="00000000"/>
    <w:embedRegular r:id="rId4" w:fontKey="{003DEB0D-6B1E-43FA-913B-AFC9078288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FC7269"/>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116C87"/>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9941</Words>
  <Characters>11741</Characters>
  <Lines>0</Lines>
  <Paragraphs>0</Paragraphs>
  <TotalTime>10</TotalTime>
  <ScaleCrop>false</ScaleCrop>
  <LinksUpToDate>false</LinksUpToDate>
  <CharactersWithSpaces>11757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2025-09-12T11:16:45Z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