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岳普湖县供销社2024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1A3F7F">
      <w:r>
        <w:br w:type="page"/>
      </w:r>
    </w:p>
    <w:p w14:paraId="36B89A08">
      <w:pPr>
        <w:spacing w:line="640" w:lineRule="exact"/>
        <w:jc w:val="center"/>
        <w:outlineLvl w:val="1"/>
      </w:pPr>
      <w:r>
        <w:rPr>
          <w:rFonts w:ascii="黑体" w:hAnsi="黑体" w:eastAsia="黑体"/>
          <w:sz w:val="32"/>
        </w:rPr>
        <w:t>第一部分 单位概况</w:t>
      </w:r>
    </w:p>
    <w:p w14:paraId="6F20763D">
      <w:pPr>
        <w:spacing w:line="640" w:lineRule="exact"/>
        <w:ind w:firstLine="640"/>
        <w:jc w:val="both"/>
        <w:outlineLvl w:val="2"/>
      </w:pPr>
      <w:r>
        <w:rPr>
          <w:rFonts w:ascii="黑体" w:hAnsi="黑体" w:eastAsia="黑体"/>
          <w:sz w:val="32"/>
        </w:rPr>
        <w:t>一、主要职能</w:t>
      </w:r>
    </w:p>
    <w:p w14:paraId="152D93A2">
      <w:pPr>
        <w:spacing w:line="580" w:lineRule="exact"/>
        <w:ind w:firstLine="640"/>
        <w:jc w:val="both"/>
      </w:pPr>
      <w:r>
        <w:rPr>
          <w:rFonts w:ascii="仿宋_GB2312" w:hAnsi="仿宋_GB2312" w:eastAsia="仿宋_GB2312"/>
          <w:sz w:val="32"/>
        </w:rPr>
        <w:t>（1）贯彻落实中央、自治区有关农村经济工作和供销合作社发展的方针、政策。参与研究和实施农村经济改革发展规划，研究制定全县合作经济发展规划，促进全县合作经济的发展。</w:t>
      </w:r>
    </w:p>
    <w:p w14:paraId="121FA214">
      <w:pPr>
        <w:spacing w:line="580" w:lineRule="exact"/>
        <w:ind w:firstLine="640"/>
        <w:jc w:val="both"/>
      </w:pPr>
      <w:r>
        <w:rPr>
          <w:rFonts w:ascii="仿宋_GB2312" w:hAnsi="仿宋_GB2312" w:eastAsia="仿宋_GB2312"/>
          <w:sz w:val="32"/>
        </w:rPr>
        <w:t>（2）指导全县供销社的改革发展，负责县本级合作经济发展和社有企业的改革发展</w:t>
      </w:r>
      <w:bookmarkStart w:id="0" w:name="_GoBack"/>
      <w:r>
        <w:rPr>
          <w:rFonts w:ascii="仿宋_GB2312" w:hAnsi="仿宋_GB2312" w:eastAsia="仿宋_GB2312"/>
          <w:sz w:val="32"/>
        </w:rPr>
        <w:t>稳定</w:t>
      </w:r>
      <w:bookmarkEnd w:id="0"/>
      <w:r>
        <w:rPr>
          <w:rFonts w:ascii="仿宋_GB2312" w:hAnsi="仿宋_GB2312" w:eastAsia="仿宋_GB2312"/>
          <w:sz w:val="32"/>
        </w:rPr>
        <w:t>。</w:t>
      </w:r>
    </w:p>
    <w:p w14:paraId="6AB65F01">
      <w:pPr>
        <w:spacing w:line="580" w:lineRule="exact"/>
        <w:ind w:firstLine="640"/>
        <w:jc w:val="both"/>
      </w:pPr>
      <w:r>
        <w:rPr>
          <w:rFonts w:ascii="仿宋_GB2312" w:hAnsi="仿宋_GB2312" w:eastAsia="仿宋_GB2312"/>
          <w:sz w:val="32"/>
        </w:rPr>
        <w:t>（3）指导和管理全县供销社系统开展农村合作金融服务工作，为“三农”提供融资平台，促进农村经济发展。</w:t>
      </w:r>
    </w:p>
    <w:p w14:paraId="75A8206B">
      <w:pPr>
        <w:spacing w:line="580" w:lineRule="exact"/>
        <w:ind w:firstLine="640"/>
        <w:jc w:val="both"/>
      </w:pPr>
      <w:r>
        <w:rPr>
          <w:rFonts w:ascii="仿宋_GB2312" w:hAnsi="仿宋_GB2312" w:eastAsia="仿宋_GB2312"/>
          <w:sz w:val="32"/>
        </w:rPr>
        <w:t>（4）指导全县供销合作社的组织体系建设，促进基层社加强民主管理，负责农村合作经济的指导、服务和协调，推动多种形式的经济合作与联合，发挥群体联合优势。</w:t>
      </w:r>
    </w:p>
    <w:p w14:paraId="0AB25E44">
      <w:pPr>
        <w:spacing w:line="580" w:lineRule="exact"/>
        <w:ind w:firstLine="640"/>
        <w:jc w:val="both"/>
      </w:pPr>
      <w:r>
        <w:rPr>
          <w:rFonts w:ascii="仿宋_GB2312" w:hAnsi="仿宋_GB2312" w:eastAsia="仿宋_GB2312"/>
          <w:sz w:val="32"/>
        </w:rPr>
        <w:t>（5）在全县农村建设现代流通服务网络体系，培育农业生产资料、日用消费品、农副产品、再生资源回收利用、烟花爆竹五大经营服务网络。</w:t>
      </w:r>
    </w:p>
    <w:p w14:paraId="6BB78E94">
      <w:pPr>
        <w:spacing w:line="580" w:lineRule="exact"/>
        <w:ind w:firstLine="640"/>
        <w:jc w:val="both"/>
      </w:pPr>
      <w:r>
        <w:rPr>
          <w:rFonts w:ascii="仿宋_GB2312" w:hAnsi="仿宋_GB2312" w:eastAsia="仿宋_GB2312"/>
          <w:sz w:val="32"/>
        </w:rPr>
        <w:t>（6）指导和推动全县新型合作经济组织建设。发展各类专业合作社、专业合作社联合社和消费合作社，推动合作经济向农业产业化经营全程和城乡社会化服务全方位拓展，发展农产品电子商务等现代流通业态。</w:t>
      </w:r>
    </w:p>
    <w:p w14:paraId="797E0F0A">
      <w:pPr>
        <w:spacing w:line="580" w:lineRule="exact"/>
        <w:ind w:firstLine="640"/>
        <w:jc w:val="both"/>
      </w:pPr>
      <w:r>
        <w:rPr>
          <w:rFonts w:ascii="仿宋_GB2312" w:hAnsi="仿宋_GB2312" w:eastAsia="仿宋_GB2312"/>
          <w:sz w:val="32"/>
        </w:rPr>
        <w:t>（7）负责管理运营本级社有资产，对基层企业行使出资人的职能；监督指导全县各基层社有资产的管理经营。</w:t>
      </w:r>
    </w:p>
    <w:p w14:paraId="0C4075DC">
      <w:pPr>
        <w:spacing w:line="580" w:lineRule="exact"/>
        <w:ind w:firstLine="640"/>
        <w:jc w:val="both"/>
      </w:pPr>
      <w:r>
        <w:rPr>
          <w:rFonts w:ascii="仿宋_GB2312" w:hAnsi="仿宋_GB2312" w:eastAsia="仿宋_GB2312"/>
          <w:sz w:val="32"/>
        </w:rPr>
        <w:t>（8）负责供销社人才队伍建设和干部职工培训教育，为全县各类新型合作经济组织和网点提供人才培育、政策咨询和技术服务。</w:t>
      </w:r>
    </w:p>
    <w:p w14:paraId="68840884">
      <w:pPr>
        <w:spacing w:line="580" w:lineRule="exact"/>
        <w:ind w:firstLine="640"/>
        <w:jc w:val="both"/>
      </w:pPr>
      <w:r>
        <w:rPr>
          <w:rFonts w:ascii="仿宋_GB2312" w:hAnsi="仿宋_GB2312" w:eastAsia="仿宋_GB2312"/>
          <w:sz w:val="32"/>
        </w:rPr>
        <w:t>（9）负责县级供销社党的建设、党风廉政建设和精神文明建设以及安全生产、信访稳定工作。</w:t>
      </w:r>
    </w:p>
    <w:p w14:paraId="3DD78F77">
      <w:pPr>
        <w:spacing w:line="580" w:lineRule="exact"/>
        <w:ind w:firstLine="640"/>
        <w:jc w:val="both"/>
      </w:pPr>
      <w:r>
        <w:rPr>
          <w:rFonts w:ascii="仿宋_GB2312" w:hAnsi="仿宋_GB2312" w:eastAsia="仿宋_GB2312"/>
          <w:sz w:val="32"/>
        </w:rPr>
        <w:t>（10）完成县委、县政府交办的其他工作。</w:t>
      </w:r>
    </w:p>
    <w:p w14:paraId="4023FDE2">
      <w:pPr>
        <w:spacing w:line="640" w:lineRule="exact"/>
        <w:ind w:firstLine="640"/>
        <w:jc w:val="both"/>
        <w:outlineLvl w:val="2"/>
      </w:pPr>
      <w:r>
        <w:rPr>
          <w:rFonts w:ascii="黑体" w:hAnsi="黑体" w:eastAsia="黑体"/>
          <w:sz w:val="32"/>
        </w:rPr>
        <w:t>二、机构设置及人员情况</w:t>
      </w:r>
    </w:p>
    <w:p w14:paraId="1477E8FC">
      <w:pPr>
        <w:spacing w:line="580" w:lineRule="exact"/>
        <w:ind w:firstLine="640"/>
        <w:jc w:val="both"/>
      </w:pPr>
      <w:r>
        <w:rPr>
          <w:rFonts w:ascii="仿宋_GB2312" w:hAnsi="仿宋_GB2312" w:eastAsia="仿宋_GB2312"/>
          <w:sz w:val="32"/>
        </w:rPr>
        <w:t>岳普湖县供销社2024年度，实有人数6人，其中：在职人员6人，增加0人；离休人员0人，增加0人；退休人员0人,增加0人。</w:t>
      </w:r>
    </w:p>
    <w:p w14:paraId="0BFF9238">
      <w:pPr>
        <w:spacing w:line="580" w:lineRule="exact"/>
        <w:ind w:firstLine="640"/>
        <w:jc w:val="both"/>
      </w:pPr>
      <w:r>
        <w:rPr>
          <w:rFonts w:ascii="仿宋_GB2312" w:hAnsi="仿宋_GB2312" w:eastAsia="仿宋_GB2312"/>
          <w:sz w:val="32"/>
        </w:rPr>
        <w:t>岳普湖县供销社无下属预算单位，下设2个科室，分别是：财务室、办公室。</w:t>
      </w:r>
    </w:p>
    <w:p w14:paraId="08B419CD">
      <w:r>
        <w:br w:type="page"/>
      </w:r>
    </w:p>
    <w:p w14:paraId="7640F5C9">
      <w:pPr>
        <w:spacing w:line="240" w:lineRule="auto"/>
        <w:jc w:val="center"/>
        <w:outlineLvl w:val="1"/>
      </w:pPr>
      <w:r>
        <w:rPr>
          <w:rFonts w:ascii="黑体" w:hAnsi="黑体" w:eastAsia="黑体"/>
          <w:sz w:val="32"/>
        </w:rPr>
        <w:t>第二部分 部门决算情况说明</w:t>
      </w:r>
    </w:p>
    <w:p w14:paraId="6BCC4924">
      <w:pPr>
        <w:spacing w:line="640" w:lineRule="exact"/>
        <w:ind w:firstLine="640"/>
        <w:jc w:val="both"/>
        <w:outlineLvl w:val="2"/>
      </w:pPr>
      <w:r>
        <w:rPr>
          <w:rFonts w:ascii="黑体" w:hAnsi="黑体" w:eastAsia="黑体"/>
          <w:sz w:val="32"/>
        </w:rPr>
        <w:t>一、收入支出决算总体情况说明</w:t>
      </w:r>
    </w:p>
    <w:p w14:paraId="5C52A06D">
      <w:pPr>
        <w:spacing w:line="580" w:lineRule="exact"/>
        <w:ind w:firstLine="640"/>
        <w:jc w:val="both"/>
      </w:pPr>
      <w:r>
        <w:rPr>
          <w:rFonts w:ascii="仿宋_GB2312" w:hAnsi="仿宋_GB2312" w:eastAsia="仿宋_GB2312"/>
          <w:b/>
          <w:sz w:val="32"/>
        </w:rPr>
        <w:t>2024年度收入总计3,560.14万元，</w:t>
      </w:r>
      <w:r>
        <w:rPr>
          <w:rFonts w:ascii="仿宋_GB2312" w:hAnsi="仿宋_GB2312" w:eastAsia="仿宋_GB2312"/>
          <w:b w:val="0"/>
          <w:sz w:val="32"/>
        </w:rPr>
        <w:t>其中：本年收入合计3,560.14万元，使用非财政拨款结余（含专用结余）0.00万元，年初结转和结余0.00万元。</w:t>
      </w:r>
    </w:p>
    <w:p w14:paraId="6B02C550">
      <w:pPr>
        <w:spacing w:line="580" w:lineRule="exact"/>
        <w:ind w:firstLine="640"/>
        <w:jc w:val="both"/>
      </w:pPr>
      <w:r>
        <w:rPr>
          <w:rFonts w:ascii="仿宋_GB2312" w:hAnsi="仿宋_GB2312" w:eastAsia="仿宋_GB2312"/>
          <w:b/>
          <w:sz w:val="32"/>
        </w:rPr>
        <w:t>2024年度支出总计3,560.14万元，</w:t>
      </w:r>
      <w:r>
        <w:rPr>
          <w:rFonts w:ascii="仿宋_GB2312" w:hAnsi="仿宋_GB2312" w:eastAsia="仿宋_GB2312"/>
          <w:b w:val="0"/>
          <w:sz w:val="32"/>
        </w:rPr>
        <w:t>其中：本年支出合计3,560.14万元，结余分配0.00万元，年末结转和结余0.00万元。</w:t>
      </w:r>
    </w:p>
    <w:p w14:paraId="531B989D">
      <w:pPr>
        <w:spacing w:line="580" w:lineRule="exact"/>
        <w:ind w:firstLine="640"/>
        <w:jc w:val="both"/>
      </w:pPr>
      <w:r>
        <w:rPr>
          <w:rFonts w:ascii="仿宋_GB2312" w:hAnsi="仿宋_GB2312" w:eastAsia="仿宋_GB2312"/>
          <w:b w:val="0"/>
          <w:sz w:val="32"/>
        </w:rPr>
        <w:t>收入支出总体与上年相比，增加3,260.45万元，增长1,087.94%，主要原因是：本年增加喀什地区岳普湖县泰岳农副产品冷链保鲜批发交易市场建设项目、岳普湖县乡村农产品初加工产业园及服务体系建设项目等，导致收入支出总体较上年增加。</w:t>
      </w:r>
    </w:p>
    <w:p w14:paraId="3EC29CFC">
      <w:pPr>
        <w:spacing w:line="640" w:lineRule="exact"/>
        <w:ind w:firstLine="640"/>
        <w:jc w:val="both"/>
        <w:outlineLvl w:val="2"/>
      </w:pPr>
      <w:r>
        <w:rPr>
          <w:rFonts w:ascii="黑体" w:hAnsi="黑体" w:eastAsia="黑体"/>
          <w:sz w:val="32"/>
        </w:rPr>
        <w:t>二、收入决算情况说明</w:t>
      </w:r>
    </w:p>
    <w:p w14:paraId="5355CBB0">
      <w:pPr>
        <w:spacing w:line="580" w:lineRule="exact"/>
        <w:ind w:firstLine="640"/>
        <w:jc w:val="both"/>
      </w:pPr>
      <w:r>
        <w:rPr>
          <w:rFonts w:ascii="仿宋_GB2312" w:hAnsi="仿宋_GB2312" w:eastAsia="仿宋_GB2312"/>
          <w:b/>
          <w:sz w:val="32"/>
        </w:rPr>
        <w:t>本年收入3,560.14万元，</w:t>
      </w:r>
      <w:r>
        <w:rPr>
          <w:rFonts w:ascii="仿宋_GB2312" w:hAnsi="仿宋_GB2312" w:eastAsia="仿宋_GB2312"/>
          <w:b w:val="0"/>
          <w:sz w:val="32"/>
        </w:rPr>
        <w:t>其中：财政拨款收入3,508.50万元，占98.55%；上级补助收入0.00万元，占0.00%；事业收入0.00万元，占0.00%；经营收入0.00万元，占0.00%；附属单位上缴收入0.00万元，占0.00%；其他收入51.64万元，占1.45%。</w:t>
      </w:r>
    </w:p>
    <w:p w14:paraId="2028B21D">
      <w:pPr>
        <w:spacing w:line="640" w:lineRule="exact"/>
        <w:ind w:firstLine="640"/>
        <w:jc w:val="both"/>
        <w:outlineLvl w:val="2"/>
      </w:pPr>
      <w:r>
        <w:rPr>
          <w:rFonts w:ascii="黑体" w:hAnsi="黑体" w:eastAsia="黑体"/>
          <w:sz w:val="32"/>
        </w:rPr>
        <w:t>三、支出决算情况说明</w:t>
      </w:r>
    </w:p>
    <w:p w14:paraId="37FCDF76">
      <w:pPr>
        <w:spacing w:line="580" w:lineRule="exact"/>
        <w:ind w:firstLine="640"/>
        <w:jc w:val="both"/>
      </w:pPr>
      <w:r>
        <w:rPr>
          <w:rFonts w:ascii="仿宋_GB2312" w:hAnsi="仿宋_GB2312" w:eastAsia="仿宋_GB2312"/>
          <w:b/>
          <w:sz w:val="32"/>
        </w:rPr>
        <w:t>本年支出3,560.14万元，</w:t>
      </w:r>
      <w:r>
        <w:rPr>
          <w:rFonts w:ascii="仿宋_GB2312" w:hAnsi="仿宋_GB2312" w:eastAsia="仿宋_GB2312"/>
          <w:b w:val="0"/>
          <w:sz w:val="32"/>
        </w:rPr>
        <w:t>其中：基本支出117.25万元，占3.29%；项目支出3,442.89万元，占96.71%；上缴上级支出0.00万元，占0.00%；经营支出0.00万元，占0.00%；对附属单位补助支出0.00万元，占0.00%。</w:t>
      </w:r>
    </w:p>
    <w:p w14:paraId="4424CB46">
      <w:pPr>
        <w:spacing w:line="640" w:lineRule="exact"/>
        <w:ind w:firstLine="640"/>
        <w:jc w:val="both"/>
        <w:outlineLvl w:val="2"/>
      </w:pPr>
      <w:r>
        <w:rPr>
          <w:rFonts w:ascii="黑体" w:hAnsi="黑体" w:eastAsia="黑体"/>
          <w:sz w:val="32"/>
        </w:rPr>
        <w:t>四、财政拨款收入支出决算总体情况说明</w:t>
      </w:r>
    </w:p>
    <w:p w14:paraId="617375AC">
      <w:pPr>
        <w:spacing w:line="580" w:lineRule="exact"/>
        <w:ind w:firstLine="640"/>
        <w:jc w:val="both"/>
      </w:pPr>
      <w:r>
        <w:rPr>
          <w:rFonts w:ascii="仿宋_GB2312" w:hAnsi="仿宋_GB2312" w:eastAsia="仿宋_GB2312"/>
          <w:b/>
          <w:sz w:val="32"/>
        </w:rPr>
        <w:t>2024年度财政拨款收入总计3,508.50万元，</w:t>
      </w:r>
      <w:r>
        <w:rPr>
          <w:rFonts w:ascii="仿宋_GB2312" w:hAnsi="仿宋_GB2312" w:eastAsia="仿宋_GB2312"/>
          <w:b w:val="0"/>
          <w:sz w:val="32"/>
        </w:rPr>
        <w:t>其中：年初财政拨款结转和结余0.00万元，本年财政拨款收入3,508.50万元。</w:t>
      </w:r>
      <w:r>
        <w:rPr>
          <w:rFonts w:ascii="仿宋_GB2312" w:hAnsi="仿宋_GB2312" w:eastAsia="仿宋_GB2312"/>
          <w:b/>
          <w:sz w:val="32"/>
        </w:rPr>
        <w:t>财政拨款支出总计3,508.50万元，</w:t>
      </w:r>
      <w:r>
        <w:rPr>
          <w:rFonts w:ascii="仿宋_GB2312" w:hAnsi="仿宋_GB2312" w:eastAsia="仿宋_GB2312"/>
          <w:b w:val="0"/>
          <w:sz w:val="32"/>
        </w:rPr>
        <w:t>其中：年末财政拨款结转和结余0.00万元，本年财政拨款支出3,508.50万元。</w:t>
      </w:r>
    </w:p>
    <w:p w14:paraId="6BF0FFC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3,208.81万元，增长1,070.71%，主要原因是：本年增加喀什地区岳普湖县泰岳农副产品冷链保鲜批发交易市场建设项目、岳普湖县乡村农产品初加工产业园及服务体系建设项目等项目，导致收入支出总体较上年增加。</w:t>
      </w:r>
      <w:r>
        <w:rPr>
          <w:rFonts w:ascii="仿宋_GB2312" w:hAnsi="仿宋_GB2312" w:eastAsia="仿宋_GB2312"/>
          <w:b/>
          <w:sz w:val="32"/>
        </w:rPr>
        <w:t>与年初预算相比，</w:t>
      </w:r>
      <w:r>
        <w:rPr>
          <w:rFonts w:ascii="仿宋_GB2312" w:hAnsi="仿宋_GB2312" w:eastAsia="仿宋_GB2312"/>
          <w:b w:val="0"/>
          <w:sz w:val="32"/>
        </w:rPr>
        <w:t>年初预算数123.37万元，决算数3,508.50万元，预决算差异率2743.88%，主要原因是：年中追加人员工资、社保、公积金基数调增部分资金，年中追加喀什地区岳普湖县泰岳农副产品冷链保鲜批发交易市场建设项目、岳普湖县乡村农产品初加工产业园及服务体系建设项目等，导致预决算存在差异。</w:t>
      </w:r>
    </w:p>
    <w:p w14:paraId="4D34BB17">
      <w:pPr>
        <w:spacing w:line="640" w:lineRule="exact"/>
        <w:ind w:firstLine="640"/>
        <w:jc w:val="both"/>
        <w:outlineLvl w:val="2"/>
      </w:pPr>
      <w:r>
        <w:rPr>
          <w:rFonts w:ascii="黑体" w:hAnsi="黑体" w:eastAsia="黑体"/>
          <w:sz w:val="32"/>
        </w:rPr>
        <w:t>五、一般公共预算财政拨款支出决算情况说明</w:t>
      </w:r>
    </w:p>
    <w:p w14:paraId="04DC7444">
      <w:pPr>
        <w:spacing w:line="640" w:lineRule="exact"/>
        <w:ind w:firstLine="640"/>
        <w:jc w:val="both"/>
        <w:outlineLvl w:val="3"/>
      </w:pPr>
      <w:r>
        <w:rPr>
          <w:rFonts w:ascii="楷体_GB2312" w:hAnsi="楷体_GB2312" w:eastAsia="楷体_GB2312"/>
          <w:b/>
          <w:sz w:val="32"/>
        </w:rPr>
        <w:t>（一）一般公共预算财政拨款支出决算总体情况</w:t>
      </w:r>
    </w:p>
    <w:p w14:paraId="40F85456">
      <w:pPr>
        <w:spacing w:line="580" w:lineRule="exact"/>
        <w:ind w:firstLine="640"/>
        <w:jc w:val="both"/>
      </w:pPr>
      <w:r>
        <w:rPr>
          <w:rFonts w:ascii="仿宋_GB2312" w:hAnsi="仿宋_GB2312" w:eastAsia="仿宋_GB2312"/>
          <w:b/>
          <w:sz w:val="32"/>
        </w:rPr>
        <w:t>2024年度一般公共预算财政拨款支出908.50万元，</w:t>
      </w:r>
      <w:r>
        <w:rPr>
          <w:rFonts w:ascii="仿宋_GB2312" w:hAnsi="仿宋_GB2312" w:eastAsia="仿宋_GB2312"/>
          <w:b w:val="0"/>
          <w:sz w:val="32"/>
        </w:rPr>
        <w:t>占本年支出合计的25.52%。</w:t>
      </w:r>
      <w:r>
        <w:rPr>
          <w:rFonts w:ascii="仿宋_GB2312" w:hAnsi="仿宋_GB2312" w:eastAsia="仿宋_GB2312"/>
          <w:b/>
          <w:sz w:val="32"/>
        </w:rPr>
        <w:t>与上年相比，</w:t>
      </w:r>
      <w:r>
        <w:rPr>
          <w:rFonts w:ascii="仿宋_GB2312" w:hAnsi="仿宋_GB2312" w:eastAsia="仿宋_GB2312"/>
          <w:b w:val="0"/>
          <w:sz w:val="32"/>
        </w:rPr>
        <w:t>增加690.86万元，增长317.43%，主要原因是：本年增加岳普湖县乡村农产品初加工产业园及服务体系建设项目监理费、审计费等前期</w:t>
      </w:r>
      <w:r>
        <w:rPr>
          <w:rFonts w:hint="eastAsia" w:ascii="仿宋_GB2312" w:hAnsi="仿宋_GB2312" w:eastAsia="仿宋_GB2312"/>
          <w:b w:val="0"/>
          <w:sz w:val="32"/>
          <w:lang w:eastAsia="zh-CN"/>
        </w:rPr>
        <w:t>费用</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123.37万元，决算数908.50万元，预决算差异率636.40%，主要原因是：年中追加人员工资、社保、公积金基数调增部分资金，本年年中追加岳普湖县乡村农产品初加工产业园及服务体系建设项目监理费、审计费等前期费等，导致预决算存在差异。</w:t>
      </w:r>
    </w:p>
    <w:p w14:paraId="63CCD7E0">
      <w:pPr>
        <w:spacing w:line="640" w:lineRule="exact"/>
        <w:ind w:firstLine="640"/>
        <w:jc w:val="both"/>
        <w:outlineLvl w:val="3"/>
      </w:pPr>
      <w:r>
        <w:rPr>
          <w:rFonts w:ascii="楷体_GB2312" w:hAnsi="楷体_GB2312" w:eastAsia="楷体_GB2312"/>
          <w:b/>
          <w:sz w:val="32"/>
        </w:rPr>
        <w:t>（二）一般公共预算财政拨款支出决算结构情况</w:t>
      </w:r>
    </w:p>
    <w:p w14:paraId="61641C9B">
      <w:pPr>
        <w:spacing w:line="580" w:lineRule="exact"/>
        <w:ind w:firstLine="640"/>
        <w:jc w:val="both"/>
      </w:pPr>
      <w:r>
        <w:rPr>
          <w:rFonts w:ascii="仿宋_GB2312" w:hAnsi="仿宋_GB2312" w:eastAsia="仿宋_GB2312"/>
          <w:b w:val="0"/>
          <w:sz w:val="32"/>
        </w:rPr>
        <w:t>1.社会保障和就业支出(类)11.79万元,占1.30%。</w:t>
      </w:r>
    </w:p>
    <w:p w14:paraId="5AEE4774">
      <w:pPr>
        <w:spacing w:line="580" w:lineRule="exact"/>
        <w:ind w:firstLine="640"/>
        <w:jc w:val="both"/>
      </w:pPr>
      <w:r>
        <w:rPr>
          <w:rFonts w:ascii="仿宋_GB2312" w:hAnsi="仿宋_GB2312" w:eastAsia="仿宋_GB2312"/>
          <w:b w:val="0"/>
          <w:sz w:val="32"/>
        </w:rPr>
        <w:t>2.卫生健康支出(类)5.01万元,占0.55%。</w:t>
      </w:r>
    </w:p>
    <w:p w14:paraId="48B9FF10">
      <w:pPr>
        <w:spacing w:line="580" w:lineRule="exact"/>
        <w:ind w:firstLine="640"/>
        <w:jc w:val="both"/>
      </w:pPr>
      <w:r>
        <w:rPr>
          <w:rFonts w:ascii="仿宋_GB2312" w:hAnsi="仿宋_GB2312" w:eastAsia="仿宋_GB2312"/>
          <w:b w:val="0"/>
          <w:sz w:val="32"/>
        </w:rPr>
        <w:t>3.商业服务业等支出(类)882.16万元,占97.10%。</w:t>
      </w:r>
    </w:p>
    <w:p w14:paraId="1F49C850">
      <w:pPr>
        <w:spacing w:line="580" w:lineRule="exact"/>
        <w:ind w:firstLine="640"/>
        <w:jc w:val="both"/>
      </w:pPr>
      <w:r>
        <w:rPr>
          <w:rFonts w:ascii="仿宋_GB2312" w:hAnsi="仿宋_GB2312" w:eastAsia="仿宋_GB2312"/>
          <w:b w:val="0"/>
          <w:sz w:val="32"/>
        </w:rPr>
        <w:t>4.住房保障支出(类)9.54万元,占1.05%。</w:t>
      </w:r>
    </w:p>
    <w:p w14:paraId="6C5C30A8">
      <w:pPr>
        <w:spacing w:line="640" w:lineRule="exact"/>
        <w:ind w:firstLine="640"/>
        <w:jc w:val="both"/>
        <w:outlineLvl w:val="3"/>
      </w:pPr>
      <w:r>
        <w:rPr>
          <w:rFonts w:ascii="楷体_GB2312" w:hAnsi="楷体_GB2312" w:eastAsia="楷体_GB2312"/>
          <w:b/>
          <w:sz w:val="32"/>
        </w:rPr>
        <w:t>（三）一般公共预算财政拨款支出决算具体情况</w:t>
      </w:r>
    </w:p>
    <w:p w14:paraId="3F6653E5">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11.79万元，比上年决算减少0.38万元，下降3.12%,主要原因是：本年在职人员调入调出，人员职级不同，缴费基数不同，导致养老保险缴费较上年减少。</w:t>
      </w:r>
    </w:p>
    <w:p w14:paraId="52893EFE">
      <w:pPr>
        <w:spacing w:line="580" w:lineRule="exact"/>
        <w:ind w:firstLine="640"/>
        <w:jc w:val="both"/>
      </w:pPr>
      <w:r>
        <w:rPr>
          <w:rFonts w:ascii="仿宋_GB2312" w:hAnsi="仿宋_GB2312" w:eastAsia="仿宋_GB2312"/>
          <w:b w:val="0"/>
          <w:sz w:val="32"/>
        </w:rPr>
        <w:t>2.卫生健康支出(类)行政事业单位医疗(款)事业单位医疗(项):支出决算数为5.01万元，比上年决算减少0.24万元，下降4.57%,主要原因是：本年在职人员调入调出，人员职级不同，缴费基数不同，导致事业单位医疗较上年减少。</w:t>
      </w:r>
    </w:p>
    <w:p w14:paraId="5418B8C0">
      <w:pPr>
        <w:spacing w:line="580" w:lineRule="exact"/>
        <w:ind w:firstLine="640"/>
        <w:jc w:val="both"/>
      </w:pPr>
      <w:r>
        <w:rPr>
          <w:rFonts w:ascii="仿宋_GB2312" w:hAnsi="仿宋_GB2312" w:eastAsia="仿宋_GB2312"/>
          <w:b w:val="0"/>
          <w:sz w:val="32"/>
        </w:rPr>
        <w:t>3.商业服务业等支出(类)商业流通事务(款)事业运行(项):支出决算数为90.91万元，比上年决算减少16.51万元，下降15.37%,主要原因是：本年在职人员调入调出，人员职级不同，工资基数不同，导致人员经费较上年减少。</w:t>
      </w:r>
    </w:p>
    <w:p w14:paraId="666465B9">
      <w:pPr>
        <w:spacing w:line="580" w:lineRule="exact"/>
        <w:ind w:firstLine="640"/>
        <w:jc w:val="both"/>
      </w:pPr>
      <w:r>
        <w:rPr>
          <w:rFonts w:ascii="仿宋_GB2312" w:hAnsi="仿宋_GB2312" w:eastAsia="仿宋_GB2312"/>
          <w:b w:val="0"/>
          <w:sz w:val="32"/>
        </w:rPr>
        <w:t>4.商业服务业等支出(类)商业流通事务(款)其他商业流通事务支出(项):支出决算数为791.25万元，比上年决算增加707.99万元，增长850.34%,主要原因是：本年增加岳普湖县乡村农产品初加工产业园及服务体系建设项目监理费、审计费等前期费，导致经费比上年度增加。</w:t>
      </w:r>
    </w:p>
    <w:p w14:paraId="3E905079">
      <w:pPr>
        <w:spacing w:line="580" w:lineRule="exact"/>
        <w:ind w:firstLine="640"/>
        <w:jc w:val="both"/>
      </w:pPr>
      <w:r>
        <w:rPr>
          <w:rFonts w:ascii="仿宋_GB2312" w:hAnsi="仿宋_GB2312" w:eastAsia="仿宋_GB2312"/>
          <w:b w:val="0"/>
          <w:sz w:val="32"/>
        </w:rPr>
        <w:t>5.住房保障支出(类)住房改革支出(款)住房公积金(项):支出决算数为9.54万元，比上年决算减少0.01万元，下降0.10%,主要原因是：本年在职人员调入调出，人员职级不同，缴费基数不同，导致住房公积金较上年减少。</w:t>
      </w:r>
    </w:p>
    <w:p w14:paraId="271CD514">
      <w:pPr>
        <w:spacing w:line="640" w:lineRule="exact"/>
        <w:ind w:firstLine="640"/>
        <w:jc w:val="both"/>
        <w:outlineLvl w:val="2"/>
      </w:pPr>
      <w:r>
        <w:rPr>
          <w:rFonts w:ascii="黑体" w:hAnsi="黑体" w:eastAsia="黑体"/>
          <w:sz w:val="32"/>
        </w:rPr>
        <w:t>六、一般公共预算财政拨款基本支出决算情况说明</w:t>
      </w:r>
    </w:p>
    <w:p w14:paraId="558C8AB3">
      <w:pPr>
        <w:spacing w:line="580" w:lineRule="exact"/>
        <w:ind w:firstLine="640"/>
        <w:jc w:val="both"/>
      </w:pPr>
      <w:r>
        <w:rPr>
          <w:rFonts w:ascii="仿宋_GB2312" w:hAnsi="仿宋_GB2312" w:eastAsia="仿宋_GB2312"/>
          <w:b w:val="0"/>
          <w:sz w:val="32"/>
        </w:rPr>
        <w:t>2024年度一般公共预算财政拨款基本支出117.25万元，其中：</w:t>
      </w:r>
      <w:r>
        <w:rPr>
          <w:rFonts w:ascii="仿宋_GB2312" w:hAnsi="仿宋_GB2312" w:eastAsia="仿宋_GB2312"/>
          <w:b/>
          <w:sz w:val="32"/>
        </w:rPr>
        <w:t>人员经费112.90万元，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2AF8A74C">
      <w:pPr>
        <w:spacing w:line="580" w:lineRule="exact"/>
        <w:ind w:firstLine="640"/>
        <w:jc w:val="both"/>
      </w:pPr>
      <w:r>
        <w:rPr>
          <w:rFonts w:ascii="仿宋_GB2312" w:hAnsi="仿宋_GB2312" w:eastAsia="仿宋_GB2312"/>
          <w:b/>
          <w:sz w:val="32"/>
        </w:rPr>
        <w:t>公用经费4.35万元，</w:t>
      </w:r>
      <w:r>
        <w:rPr>
          <w:rFonts w:ascii="仿宋_GB2312" w:hAnsi="仿宋_GB2312" w:eastAsia="仿宋_GB2312"/>
          <w:b w:val="0"/>
          <w:sz w:val="32"/>
        </w:rPr>
        <w:t>包括：办公费、物业管理费、公务用车运行维护费。</w:t>
      </w:r>
    </w:p>
    <w:p w14:paraId="2ED54ACC">
      <w:pPr>
        <w:spacing w:line="640" w:lineRule="exact"/>
        <w:ind w:firstLine="640"/>
        <w:jc w:val="both"/>
        <w:outlineLvl w:val="2"/>
      </w:pPr>
      <w:r>
        <w:rPr>
          <w:rFonts w:ascii="黑体" w:hAnsi="黑体" w:eastAsia="黑体"/>
          <w:sz w:val="32"/>
        </w:rPr>
        <w:t>七、政府性基金预算财政拨款收入支出决算情况说明</w:t>
      </w:r>
    </w:p>
    <w:p w14:paraId="4433C4BC">
      <w:pPr>
        <w:spacing w:line="580" w:lineRule="exact"/>
        <w:ind w:firstLine="640"/>
        <w:jc w:val="both"/>
      </w:pPr>
      <w:r>
        <w:rPr>
          <w:rFonts w:ascii="仿宋_GB2312" w:hAnsi="仿宋_GB2312" w:eastAsia="仿宋_GB2312"/>
          <w:b/>
          <w:sz w:val="32"/>
        </w:rPr>
        <w:t>2024年度政府性基金预算财政拨款收入总计2,600.00万元，</w:t>
      </w:r>
      <w:r>
        <w:rPr>
          <w:rFonts w:ascii="仿宋_GB2312" w:hAnsi="仿宋_GB2312" w:eastAsia="仿宋_GB2312"/>
          <w:b w:val="0"/>
          <w:sz w:val="32"/>
        </w:rPr>
        <w:t>其中：年初结转和结余0.00万元，本年收入2,600.00万元。</w:t>
      </w:r>
      <w:r>
        <w:rPr>
          <w:rFonts w:ascii="仿宋_GB2312" w:hAnsi="仿宋_GB2312" w:eastAsia="仿宋_GB2312"/>
          <w:b/>
          <w:sz w:val="32"/>
        </w:rPr>
        <w:t>政府性基金预算财政拨款支出总计2,600.00万元，</w:t>
      </w:r>
      <w:r>
        <w:rPr>
          <w:rFonts w:ascii="仿宋_GB2312" w:hAnsi="仿宋_GB2312" w:eastAsia="仿宋_GB2312"/>
          <w:b w:val="0"/>
          <w:sz w:val="32"/>
        </w:rPr>
        <w:t>其中：年末结转和结余0.00万元，本年支出2,600.00万元。</w:t>
      </w:r>
    </w:p>
    <w:p w14:paraId="45CCC1B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增加2,517.95万元，增长3,068.80%，主要原因是：本年增加喀什地区岳普湖县泰岳农副产品冷链保鲜批发交易市场建设项目、岳普湖县乡村农产品初加工产业园及服务体系建设等项目资金。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2,600.00万元，预决算差异率100.00%，主要原因是：年中追加喀什地区岳普湖县泰岳农副产品冷链保鲜批发交易市场建设项目、岳普湖县乡村农产品初加工产业园及服务体系建设项目，导致预决算存在差异。</w:t>
      </w:r>
    </w:p>
    <w:p w14:paraId="12F2E83A">
      <w:pPr>
        <w:spacing w:line="580" w:lineRule="exact"/>
        <w:ind w:firstLine="640"/>
        <w:jc w:val="both"/>
      </w:pPr>
      <w:r>
        <w:rPr>
          <w:rFonts w:ascii="仿宋_GB2312" w:hAnsi="仿宋_GB2312" w:eastAsia="仿宋_GB2312"/>
          <w:b w:val="0"/>
          <w:sz w:val="32"/>
        </w:rPr>
        <w:t>政府性基金预算财政拨款支出2,600.00万元。</w:t>
      </w:r>
    </w:p>
    <w:p w14:paraId="046BE0C4">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82.05万元，下降100.00%,主要原因是：本年未安排泰岳农副产品冷链保鲜批发交易市场和泰岳农副产品综合批发交易市场建设项目前期费。</w:t>
      </w:r>
    </w:p>
    <w:p w14:paraId="6F3BF5AC">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2,600.00万元，比上年决算增加2,600.00万元，增长100.00%,主要原因是：本年增加喀什地区岳普湖县泰岳农副产品冷链保鲜批发交易市场建设项目、岳普湖县乡村农产品初加工产业园及服务体系建设项目资金。</w:t>
      </w:r>
    </w:p>
    <w:p w14:paraId="261F6931">
      <w:pPr>
        <w:spacing w:line="640" w:lineRule="exact"/>
        <w:ind w:firstLine="640"/>
        <w:jc w:val="both"/>
        <w:outlineLvl w:val="2"/>
      </w:pPr>
      <w:r>
        <w:rPr>
          <w:rFonts w:ascii="黑体" w:hAnsi="黑体" w:eastAsia="黑体"/>
          <w:sz w:val="32"/>
        </w:rPr>
        <w:t>八、国有资本经营预算财政拨款收入支出决算情况说明</w:t>
      </w:r>
    </w:p>
    <w:p w14:paraId="1823D4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D7BF29">
      <w:pPr>
        <w:spacing w:line="640" w:lineRule="exact"/>
        <w:ind w:firstLine="640"/>
        <w:jc w:val="both"/>
        <w:outlineLvl w:val="2"/>
      </w:pPr>
      <w:r>
        <w:rPr>
          <w:rFonts w:ascii="黑体" w:hAnsi="黑体" w:eastAsia="黑体"/>
          <w:sz w:val="32"/>
        </w:rPr>
        <w:t>九、财政拨款“三公”经费支出决算情况说明</w:t>
      </w:r>
    </w:p>
    <w:p w14:paraId="7CFC57E2">
      <w:pPr>
        <w:spacing w:line="580" w:lineRule="exact"/>
        <w:ind w:firstLine="640"/>
        <w:jc w:val="both"/>
      </w:pPr>
      <w:r>
        <w:rPr>
          <w:rFonts w:ascii="仿宋_GB2312" w:hAnsi="仿宋_GB2312" w:eastAsia="仿宋_GB2312"/>
          <w:b/>
          <w:sz w:val="32"/>
        </w:rPr>
        <w:t>2024年度财政拨款“三公”经费支出2.48万元，</w:t>
      </w:r>
      <w:r>
        <w:rPr>
          <w:rFonts w:ascii="仿宋_GB2312" w:hAnsi="仿宋_GB2312" w:eastAsia="仿宋_GB2312"/>
          <w:b w:val="0"/>
          <w:sz w:val="32"/>
        </w:rPr>
        <w:t>比上年增加2.19万元，增长755.17%，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2.48万元，占100.00%，比上年增加2.19万元，增长755.17%，主要原因是：本单位公务用车日渐老化，维修维护成本增加，导致公务用车运行维护费较上年增加。公务接待费支出0.00万元，占0.00%，比上年增加0.00万元，增长0.00%，主要原因是：2023年与2024年均未安排公务接待费支出。</w:t>
      </w:r>
    </w:p>
    <w:p w14:paraId="37C342E8">
      <w:pPr>
        <w:spacing w:line="580" w:lineRule="exact"/>
        <w:ind w:firstLine="640"/>
        <w:jc w:val="both"/>
      </w:pPr>
      <w:r>
        <w:rPr>
          <w:rFonts w:ascii="仿宋_GB2312" w:hAnsi="仿宋_GB2312" w:eastAsia="仿宋_GB2312"/>
          <w:b/>
          <w:sz w:val="32"/>
        </w:rPr>
        <w:t>具体情况如下：</w:t>
      </w:r>
    </w:p>
    <w:p w14:paraId="333E958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D4AC3E">
      <w:pPr>
        <w:spacing w:line="580" w:lineRule="exact"/>
        <w:ind w:firstLine="640"/>
        <w:jc w:val="both"/>
      </w:pPr>
      <w:r>
        <w:rPr>
          <w:rFonts w:ascii="仿宋_GB2312" w:hAnsi="仿宋_GB2312" w:eastAsia="仿宋_GB2312"/>
          <w:b w:val="0"/>
          <w:sz w:val="32"/>
        </w:rPr>
        <w:t>公务用车购置及运行维护费2.48万元，其中：公务用车购置费0.00万元，公务用车运行维护费2.48万元。公务用车运行维护费开支内容包括本单位车辆加油费、维修费、保险费、审车费、过路费。公务用车购置数0辆，公务用车保有量1辆。国有资产占用情况中固定资产车辆6辆，与公务用车保有量差异原因是：差异车辆为一般业务用车，预算未安排公务用车运行维护费。</w:t>
      </w:r>
    </w:p>
    <w:p w14:paraId="34BBB1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BFAD9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2.48万元，决算数2.48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2.48万元，决算数2.48万元，预决算差异率0.00%，主要原因是：严格按照预算执行，预决算无差异。公务接待费全年预算数0.00万元，决算数0.00万元，预决算差异率0.00%，主要原因是：本单位无公务接待费。</w:t>
      </w:r>
    </w:p>
    <w:p w14:paraId="3DF1228C">
      <w:pPr>
        <w:spacing w:line="640" w:lineRule="exact"/>
        <w:ind w:firstLine="640"/>
        <w:jc w:val="both"/>
        <w:outlineLvl w:val="2"/>
      </w:pPr>
      <w:r>
        <w:rPr>
          <w:rFonts w:ascii="黑体" w:hAnsi="黑体" w:eastAsia="黑体"/>
          <w:sz w:val="32"/>
        </w:rPr>
        <w:t>十、其他重要事项的情况说明</w:t>
      </w:r>
    </w:p>
    <w:p w14:paraId="57663826">
      <w:pPr>
        <w:spacing w:line="640" w:lineRule="exact"/>
        <w:ind w:firstLine="640"/>
        <w:jc w:val="both"/>
        <w:outlineLvl w:val="3"/>
      </w:pPr>
      <w:r>
        <w:rPr>
          <w:rFonts w:ascii="楷体_GB2312" w:hAnsi="楷体_GB2312" w:eastAsia="楷体_GB2312"/>
          <w:b/>
          <w:sz w:val="32"/>
        </w:rPr>
        <w:t>（一）机关运行经费及公用经费支出情况</w:t>
      </w:r>
    </w:p>
    <w:p w14:paraId="28E329C6">
      <w:pPr>
        <w:spacing w:line="580" w:lineRule="exact"/>
        <w:ind w:firstLine="640"/>
        <w:jc w:val="both"/>
      </w:pPr>
      <w:r>
        <w:rPr>
          <w:rFonts w:ascii="仿宋_GB2312" w:hAnsi="仿宋_GB2312" w:eastAsia="仿宋_GB2312"/>
          <w:b w:val="0"/>
          <w:sz w:val="32"/>
        </w:rPr>
        <w:t>2024年度岳普湖县供销社（事业单位）公用经费支出4.35万元，比上年增加2.56万元，增长143.02%，主要原因是：本年维护补充办公用品，导致公用经费较上年增加。</w:t>
      </w:r>
    </w:p>
    <w:p w14:paraId="47387F9B">
      <w:pPr>
        <w:spacing w:line="640" w:lineRule="exact"/>
        <w:ind w:firstLine="640"/>
        <w:jc w:val="both"/>
        <w:outlineLvl w:val="3"/>
      </w:pPr>
      <w:r>
        <w:rPr>
          <w:rFonts w:ascii="楷体_GB2312" w:hAnsi="楷体_GB2312" w:eastAsia="楷体_GB2312"/>
          <w:b/>
          <w:sz w:val="32"/>
        </w:rPr>
        <w:t>（二）政府采购情况</w:t>
      </w:r>
    </w:p>
    <w:p w14:paraId="318C93B8">
      <w:pPr>
        <w:spacing w:line="580" w:lineRule="exact"/>
        <w:ind w:firstLine="640"/>
        <w:jc w:val="both"/>
      </w:pPr>
      <w:r>
        <w:rPr>
          <w:rFonts w:ascii="仿宋_GB2312" w:hAnsi="仿宋_GB2312" w:eastAsia="仿宋_GB2312"/>
          <w:b w:val="0"/>
          <w:sz w:val="32"/>
        </w:rPr>
        <w:t>2024年度政府采购支出总额1.18万元，其中：政府采购货物支出0.00万元、政府采购工程支出0.00万元、政府采购服务支出1.18万元。</w:t>
      </w:r>
    </w:p>
    <w:p w14:paraId="10A336E5">
      <w:pPr>
        <w:spacing w:line="580" w:lineRule="exact"/>
        <w:ind w:firstLine="640"/>
        <w:jc w:val="both"/>
      </w:pPr>
      <w:r>
        <w:rPr>
          <w:rFonts w:ascii="仿宋_GB2312" w:hAnsi="仿宋_GB2312" w:eastAsia="仿宋_GB2312"/>
          <w:b w:val="0"/>
          <w:sz w:val="32"/>
        </w:rPr>
        <w:t>授予中小企业合同金额1.18万元，占政府采购支出总额的100.00%，其中：授予小微企业合同金额1.18万元，占政府采购支出总额的100.00%。</w:t>
      </w:r>
    </w:p>
    <w:p w14:paraId="47770941">
      <w:pPr>
        <w:spacing w:line="640" w:lineRule="exact"/>
        <w:ind w:firstLine="640"/>
        <w:jc w:val="both"/>
        <w:outlineLvl w:val="3"/>
      </w:pPr>
      <w:r>
        <w:rPr>
          <w:rFonts w:ascii="楷体_GB2312" w:hAnsi="楷体_GB2312" w:eastAsia="楷体_GB2312"/>
          <w:b/>
          <w:sz w:val="32"/>
        </w:rPr>
        <w:t>（三）国有资产占用情况说明</w:t>
      </w:r>
    </w:p>
    <w:p w14:paraId="0E35AFA7">
      <w:pPr>
        <w:spacing w:line="580" w:lineRule="exact"/>
        <w:ind w:firstLine="640"/>
        <w:jc w:val="both"/>
      </w:pPr>
      <w:r>
        <w:rPr>
          <w:rFonts w:ascii="仿宋_GB2312" w:hAnsi="仿宋_GB2312" w:eastAsia="仿宋_GB2312"/>
          <w:b w:val="0"/>
          <w:sz w:val="32"/>
        </w:rPr>
        <w:t>截至2024年12月31日，房屋97,765.57平方米，价值26,812.07万元。车辆6辆，价值116.48万元，其中：副部（省）级及以上领导用车0辆、主要负责人用车0辆、机要通信用车0辆、应急保障用车0辆、执法执勤用车0辆、特种专业技术用车0辆、离退休干部服务用车0辆、其他用车6辆，其他用车主要是：一般公务用车和单位业务用车。单价100万元（含）以上设备（不含车辆）1台（套）。</w:t>
      </w:r>
    </w:p>
    <w:p w14:paraId="44B89612">
      <w:pPr>
        <w:spacing w:line="640" w:lineRule="exact"/>
        <w:ind w:firstLine="640"/>
        <w:jc w:val="both"/>
        <w:outlineLvl w:val="2"/>
      </w:pPr>
      <w:r>
        <w:rPr>
          <w:rFonts w:ascii="黑体" w:hAnsi="黑体" w:eastAsia="黑体"/>
          <w:sz w:val="32"/>
        </w:rPr>
        <w:t>十一、预算绩效的情况说明</w:t>
      </w:r>
    </w:p>
    <w:p w14:paraId="2BD2929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3,560.14万元，实际执行总额3,560.14万元；预算绩效评价项目2个，全年预算数842.89万元，全年执行数842.89万元。预算绩效管理取得的成效：1.制定详细计划。在项目开始之前，制定详细的项目计划，明确项目的目标、任务、时间表和预算。确保了所有相关人员清楚自己的责任，避免了项目实施过程中出现的混乱。2.坚持重点审核与全面审核相结合，提高审核质量。统筹规划、突出重点，将医保信息化标准化、经办管理服务体系建设等作为重点审核项目。同时，拓展审核范围，系统梳理审核项目，形成工作台账，确保资金的使用方向明确、重点突出。发现的问题及原因：过于重视项目短期行为，部分业务人员绩效管理意识有待增强，未能全面深入认识理解绩效管理工作的意义。绩效管理经验不足，预算绩效管理工作有待进一步落实。绩效指标的明确性、可衡量性、相关性还需进一步提升。缺少带着问题去评价的意识，后续效益评价具体措施和方法不足。下一步改进措施：加大绩效工作宣传力度，强化绩效理念。完善绩效指标，依据对部门工作任务的分解形成工作活动层面的绩效目标，提高整体绩效目标质量。提升预算精细化管理水平。目标的设定与部门的整体支出方向、结构与范围要高度一致，与“三定方案”确定的部门职能紧密相关，细致梳理部门具体的工作职责。继续完善预算绩效管理相关工作制度，建立全过程预算绩效管理链条，有效贯彻落实全面实施绩效管理的精神。具体附整体支出绩效自评表，项目支出绩效自评表和评价报告。</w:t>
      </w:r>
    </w:p>
    <w:p w14:paraId="1D18285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9BCA21">
        <w:tblPrEx>
          <w:tblCellMar>
            <w:top w:w="0" w:type="dxa"/>
            <w:left w:w="108" w:type="dxa"/>
            <w:bottom w:w="0" w:type="dxa"/>
            <w:right w:w="108" w:type="dxa"/>
          </w:tblCellMar>
        </w:tblPrEx>
        <w:tc>
          <w:tcPr>
            <w:tcW w:w="8847" w:type="dxa"/>
            <w:gridSpan w:val="9"/>
            <w:vAlign w:val="center"/>
          </w:tcPr>
          <w:p w14:paraId="785339B8">
            <w:pPr>
              <w:jc w:val="center"/>
            </w:pPr>
            <w:r>
              <w:rPr>
                <w:rFonts w:ascii="宋体" w:hAnsi="宋体" w:eastAsia="宋体"/>
                <w:sz w:val="24"/>
              </w:rPr>
              <w:t>单位整体支出绩效自评表</w:t>
            </w:r>
          </w:p>
        </w:tc>
      </w:tr>
      <w:tr w14:paraId="2E97541E">
        <w:tblPrEx>
          <w:tblCellMar>
            <w:top w:w="0" w:type="dxa"/>
            <w:left w:w="108" w:type="dxa"/>
            <w:bottom w:w="0" w:type="dxa"/>
            <w:right w:w="108" w:type="dxa"/>
          </w:tblCellMar>
        </w:tblPrEx>
        <w:tc>
          <w:tcPr>
            <w:tcW w:w="8847" w:type="dxa"/>
            <w:gridSpan w:val="9"/>
            <w:vAlign w:val="center"/>
          </w:tcPr>
          <w:p w14:paraId="25A46751">
            <w:pPr>
              <w:jc w:val="center"/>
            </w:pPr>
            <w:r>
              <w:rPr>
                <w:rFonts w:ascii="宋体" w:hAnsi="宋体" w:eastAsia="宋体"/>
                <w:sz w:val="24"/>
              </w:rPr>
              <w:t>（2024年度）</w:t>
            </w:r>
          </w:p>
        </w:tc>
      </w:tr>
      <w:tr w14:paraId="3D2305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39C1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7B1770">
            <w:pPr>
              <w:jc w:val="center"/>
            </w:pPr>
            <w:r>
              <w:rPr>
                <w:rFonts w:ascii="宋体" w:hAnsi="宋体" w:eastAsia="宋体"/>
                <w:sz w:val="16"/>
              </w:rPr>
              <w:t>岳普湖县供销社</w:t>
            </w:r>
          </w:p>
        </w:tc>
      </w:tr>
      <w:tr w14:paraId="7E3017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4DCF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03AC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5D2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0A44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7143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922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4E0B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7F64">
            <w:pPr>
              <w:jc w:val="center"/>
            </w:pPr>
            <w:r>
              <w:rPr>
                <w:rFonts w:ascii="宋体" w:hAnsi="宋体" w:eastAsia="宋体"/>
                <w:sz w:val="16"/>
              </w:rPr>
              <w:t>得分</w:t>
            </w:r>
          </w:p>
        </w:tc>
      </w:tr>
      <w:tr w14:paraId="4BC318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AB7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ACC5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EBD1E">
            <w:pPr>
              <w:jc w:val="center"/>
            </w:pPr>
            <w:r>
              <w:rPr>
                <w:rFonts w:ascii="宋体" w:hAnsi="宋体" w:eastAsia="宋体"/>
                <w:sz w:val="16"/>
              </w:rPr>
              <w:t>123.37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C66F9">
            <w:pPr>
              <w:jc w:val="center"/>
            </w:pPr>
            <w:r>
              <w:rPr>
                <w:rFonts w:ascii="宋体" w:hAnsi="宋体" w:eastAsia="宋体"/>
                <w:sz w:val="16"/>
              </w:rPr>
              <w:t>3,560.14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97681">
            <w:pPr>
              <w:jc w:val="center"/>
            </w:pPr>
            <w:r>
              <w:rPr>
                <w:rFonts w:ascii="宋体" w:hAnsi="宋体" w:eastAsia="宋体"/>
                <w:sz w:val="16"/>
              </w:rPr>
              <w:t>3,560.14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1B3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D980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11C2">
            <w:pPr>
              <w:jc w:val="center"/>
            </w:pPr>
            <w:r>
              <w:rPr>
                <w:rFonts w:ascii="宋体" w:hAnsi="宋体" w:eastAsia="宋体"/>
                <w:sz w:val="16"/>
              </w:rPr>
              <w:t>10</w:t>
            </w:r>
          </w:p>
        </w:tc>
      </w:tr>
      <w:tr w14:paraId="2AA543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D76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1C27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FFE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4094F">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F95E9">
            <w:pPr>
              <w:jc w:val="center"/>
            </w:pPr>
            <w:r>
              <w:rPr>
                <w:rFonts w:ascii="宋体" w:hAnsi="宋体" w:eastAsia="宋体"/>
                <w:sz w:val="16"/>
              </w:rPr>
              <w:t>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81C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3D3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8AED">
            <w:pPr>
              <w:jc w:val="center"/>
            </w:pPr>
            <w:r>
              <w:rPr>
                <w:rFonts w:ascii="宋体" w:hAnsi="宋体" w:eastAsia="宋体"/>
                <w:sz w:val="16"/>
              </w:rPr>
              <w:t>—</w:t>
            </w:r>
          </w:p>
        </w:tc>
      </w:tr>
      <w:tr w14:paraId="4A6A4A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CA1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23E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BD00">
            <w:pPr>
              <w:jc w:val="center"/>
            </w:pPr>
            <w:r>
              <w:rPr>
                <w:rFonts w:ascii="宋体" w:hAnsi="宋体" w:eastAsia="宋体"/>
                <w:sz w:val="16"/>
              </w:rPr>
              <w:t>123.37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DBD1">
            <w:pPr>
              <w:jc w:val="center"/>
            </w:pPr>
            <w:r>
              <w:rPr>
                <w:rFonts w:ascii="宋体" w:hAnsi="宋体" w:eastAsia="宋体"/>
                <w:sz w:val="16"/>
              </w:rPr>
              <w:t>3,506.67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53C0">
            <w:pPr>
              <w:jc w:val="center"/>
            </w:pPr>
            <w:r>
              <w:rPr>
                <w:rFonts w:ascii="宋体" w:hAnsi="宋体" w:eastAsia="宋体"/>
                <w:sz w:val="16"/>
              </w:rPr>
              <w:t>3,506.67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C4E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74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19F4">
            <w:pPr>
              <w:jc w:val="center"/>
            </w:pPr>
            <w:r>
              <w:rPr>
                <w:rFonts w:ascii="宋体" w:hAnsi="宋体" w:eastAsia="宋体"/>
                <w:sz w:val="16"/>
              </w:rPr>
              <w:t>—</w:t>
            </w:r>
          </w:p>
        </w:tc>
      </w:tr>
      <w:tr w14:paraId="7CF291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BDB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D407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43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E72A0">
            <w:pPr>
              <w:jc w:val="center"/>
            </w:pPr>
            <w:r>
              <w:rPr>
                <w:rFonts w:ascii="宋体" w:hAnsi="宋体" w:eastAsia="宋体"/>
                <w:sz w:val="16"/>
              </w:rPr>
              <w:t>51.64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99D19">
            <w:pPr>
              <w:jc w:val="center"/>
            </w:pPr>
            <w:r>
              <w:rPr>
                <w:rFonts w:ascii="宋体" w:hAnsi="宋体" w:eastAsia="宋体"/>
                <w:sz w:val="16"/>
              </w:rPr>
              <w:t>51.64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255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42C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7FD8">
            <w:pPr>
              <w:jc w:val="center"/>
            </w:pPr>
            <w:r>
              <w:rPr>
                <w:rFonts w:ascii="宋体" w:hAnsi="宋体" w:eastAsia="宋体"/>
                <w:sz w:val="16"/>
              </w:rPr>
              <w:t>—</w:t>
            </w:r>
          </w:p>
        </w:tc>
      </w:tr>
      <w:tr w14:paraId="54900B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A147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92D57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C51D16">
            <w:pPr>
              <w:jc w:val="center"/>
            </w:pPr>
            <w:r>
              <w:rPr>
                <w:rFonts w:ascii="宋体" w:hAnsi="宋体" w:eastAsia="宋体"/>
                <w:sz w:val="16"/>
              </w:rPr>
              <w:t>实际完成情况</w:t>
            </w:r>
          </w:p>
        </w:tc>
      </w:tr>
      <w:tr w14:paraId="6EA19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A46C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8DE7E1">
            <w:pPr>
              <w:jc w:val="both"/>
            </w:pPr>
            <w:r>
              <w:rPr>
                <w:rFonts w:ascii="宋体" w:hAnsi="宋体" w:eastAsia="宋体"/>
                <w:sz w:val="16"/>
              </w:rPr>
              <w:t>管理指导基层供销社数量5个。做好农副产品托市收购工作，改善农村农资流通环境，协调全县供销社建立和完善农业社会化服务体系，做好蔬菜托市收购工作，及时宣传普及三农政策，强化三农服务工作，提高服务水平，推动全县农业产业结构调整和产业化进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0C607">
            <w:pPr>
              <w:jc w:val="both"/>
            </w:pPr>
            <w:r>
              <w:rPr>
                <w:rFonts w:ascii="宋体" w:hAnsi="宋体" w:eastAsia="宋体"/>
                <w:sz w:val="16"/>
              </w:rPr>
              <w:t>2024年度已经对岳普湖县5个基层供销社进行了管理指导。进一步做好了农副产品托市收购工作，改善了岳普湖县农村农资流通环境，协调了全县供销社建立和完善了农业社会化服务体系；蔬菜托市收购工作已经按期完成；及时宣传普及了三农政策，持续强化了三农服务工作；有效提高了服务水平，不断推动了全县农业产业结构调整和产业化进程。</w:t>
            </w:r>
          </w:p>
        </w:tc>
      </w:tr>
      <w:tr w14:paraId="073414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B14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EC11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21B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C9CB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7304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CE25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4F49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0A16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DA79A">
            <w:pPr>
              <w:jc w:val="center"/>
            </w:pPr>
            <w:r>
              <w:rPr>
                <w:rFonts w:ascii="宋体" w:hAnsi="宋体" w:eastAsia="宋体"/>
                <w:sz w:val="16"/>
              </w:rPr>
              <w:t>得分</w:t>
            </w:r>
          </w:p>
        </w:tc>
      </w:tr>
      <w:tr w14:paraId="641C2F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751C8">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11C3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C7BEC">
            <w:pPr>
              <w:jc w:val="center"/>
            </w:pPr>
            <w:r>
              <w:rPr>
                <w:rFonts w:ascii="宋体" w:hAnsi="宋体" w:eastAsia="宋体"/>
                <w:sz w:val="16"/>
              </w:rPr>
              <w:t>管理指导基层供销社数量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EB84C">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6184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779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0EC5">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C4F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2B0D5">
            <w:pPr>
              <w:jc w:val="center"/>
            </w:pPr>
            <w:r>
              <w:rPr>
                <w:rFonts w:ascii="宋体" w:hAnsi="宋体" w:eastAsia="宋体"/>
                <w:sz w:val="16"/>
              </w:rPr>
              <w:t>18</w:t>
            </w:r>
          </w:p>
        </w:tc>
      </w:tr>
      <w:tr w14:paraId="2CC7DE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DE5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B560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9197">
            <w:pPr>
              <w:jc w:val="center"/>
            </w:pPr>
            <w:r>
              <w:rPr>
                <w:rFonts w:ascii="宋体" w:hAnsi="宋体" w:eastAsia="宋体"/>
                <w:sz w:val="16"/>
              </w:rPr>
              <w:t>三农政策宣传普及率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0C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B1BF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B5DC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7B6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C2F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429E8">
            <w:pPr>
              <w:jc w:val="center"/>
            </w:pPr>
            <w:r>
              <w:rPr>
                <w:rFonts w:ascii="宋体" w:hAnsi="宋体" w:eastAsia="宋体"/>
                <w:sz w:val="16"/>
              </w:rPr>
              <w:t>18</w:t>
            </w:r>
          </w:p>
        </w:tc>
      </w:tr>
      <w:tr w14:paraId="1ED132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899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726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D917F">
            <w:pPr>
              <w:jc w:val="center"/>
            </w:pPr>
            <w:r>
              <w:rPr>
                <w:rFonts w:ascii="宋体" w:hAnsi="宋体" w:eastAsia="宋体"/>
                <w:sz w:val="16"/>
              </w:rPr>
              <w:t>蔬菜托市收购完成率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564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1694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E099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032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417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874B3">
            <w:pPr>
              <w:jc w:val="center"/>
            </w:pPr>
            <w:r>
              <w:rPr>
                <w:rFonts w:ascii="宋体" w:hAnsi="宋体" w:eastAsia="宋体"/>
                <w:sz w:val="16"/>
              </w:rPr>
              <w:t>18</w:t>
            </w:r>
          </w:p>
        </w:tc>
      </w:tr>
      <w:tr w14:paraId="1CC04F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495A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F1B7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955EB">
            <w:pPr>
              <w:jc w:val="center"/>
            </w:pPr>
            <w:r>
              <w:rPr>
                <w:rFonts w:ascii="宋体" w:hAnsi="宋体" w:eastAsia="宋体"/>
                <w:sz w:val="16"/>
              </w:rPr>
              <w:t>农资销售检查任务按期完成率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49D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714F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65F4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C4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037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7EF58">
            <w:pPr>
              <w:jc w:val="center"/>
            </w:pPr>
            <w:r>
              <w:rPr>
                <w:rFonts w:ascii="宋体" w:hAnsi="宋体" w:eastAsia="宋体"/>
                <w:sz w:val="16"/>
              </w:rPr>
              <w:t>18</w:t>
            </w:r>
          </w:p>
        </w:tc>
      </w:tr>
      <w:tr w14:paraId="7A0297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2848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4F5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4DCE">
            <w:pPr>
              <w:jc w:val="center"/>
            </w:pPr>
            <w:r>
              <w:rPr>
                <w:rFonts w:ascii="宋体" w:hAnsi="宋体" w:eastAsia="宋体"/>
                <w:sz w:val="16"/>
              </w:rPr>
              <w:t>三农政策宣传及时率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D02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7EA2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AE24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64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E5A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ACA31">
            <w:pPr>
              <w:jc w:val="center"/>
            </w:pPr>
            <w:r>
              <w:rPr>
                <w:rFonts w:ascii="宋体" w:hAnsi="宋体" w:eastAsia="宋体"/>
                <w:sz w:val="16"/>
              </w:rPr>
              <w:t>18</w:t>
            </w:r>
          </w:p>
        </w:tc>
      </w:tr>
    </w:tbl>
    <w:p w14:paraId="3F9BA738">
      <w:r>
        <w:br w:type="page"/>
      </w:r>
    </w:p>
    <w:tbl>
      <w:tblPr>
        <w:tblStyle w:val="9"/>
        <w:tblW w:w="0" w:type="auto"/>
        <w:tblInd w:w="0" w:type="dxa"/>
        <w:tblLayout w:type="autofit"/>
        <w:tblCellMar>
          <w:top w:w="0" w:type="dxa"/>
          <w:left w:w="108" w:type="dxa"/>
          <w:bottom w:w="0" w:type="dxa"/>
          <w:right w:w="108" w:type="dxa"/>
        </w:tblCellMar>
      </w:tblPr>
      <w:tblGrid>
        <w:gridCol w:w="610"/>
        <w:gridCol w:w="576"/>
        <w:gridCol w:w="576"/>
        <w:gridCol w:w="577"/>
        <w:gridCol w:w="1096"/>
        <w:gridCol w:w="577"/>
        <w:gridCol w:w="577"/>
        <w:gridCol w:w="594"/>
        <w:gridCol w:w="577"/>
        <w:gridCol w:w="577"/>
        <w:gridCol w:w="936"/>
        <w:gridCol w:w="632"/>
        <w:gridCol w:w="526"/>
        <w:gridCol w:w="629"/>
      </w:tblGrid>
      <w:tr w14:paraId="10596755">
        <w:tblPrEx>
          <w:tblCellMar>
            <w:top w:w="0" w:type="dxa"/>
            <w:left w:w="108" w:type="dxa"/>
            <w:bottom w:w="0" w:type="dxa"/>
            <w:right w:w="108" w:type="dxa"/>
          </w:tblCellMar>
        </w:tblPrEx>
        <w:tc>
          <w:tcPr>
            <w:tcW w:w="8848" w:type="dxa"/>
            <w:gridSpan w:val="14"/>
            <w:vAlign w:val="center"/>
          </w:tcPr>
          <w:p w14:paraId="2FFCD39A">
            <w:pPr>
              <w:jc w:val="center"/>
            </w:pPr>
            <w:r>
              <w:rPr>
                <w:rFonts w:ascii="宋体" w:hAnsi="宋体" w:eastAsia="宋体"/>
                <w:sz w:val="24"/>
              </w:rPr>
              <w:t>项目支出绩效自评表</w:t>
            </w:r>
          </w:p>
        </w:tc>
      </w:tr>
      <w:tr w14:paraId="42BDE589">
        <w:tblPrEx>
          <w:tblCellMar>
            <w:top w:w="0" w:type="dxa"/>
            <w:left w:w="108" w:type="dxa"/>
            <w:bottom w:w="0" w:type="dxa"/>
            <w:right w:w="108" w:type="dxa"/>
          </w:tblCellMar>
        </w:tblPrEx>
        <w:tc>
          <w:tcPr>
            <w:tcW w:w="8848" w:type="dxa"/>
            <w:gridSpan w:val="14"/>
            <w:vAlign w:val="center"/>
          </w:tcPr>
          <w:p w14:paraId="7466F100">
            <w:pPr>
              <w:jc w:val="center"/>
            </w:pPr>
            <w:r>
              <w:rPr>
                <w:rFonts w:ascii="宋体" w:hAnsi="宋体" w:eastAsia="宋体"/>
                <w:sz w:val="24"/>
              </w:rPr>
              <w:t>(2024年度)</w:t>
            </w:r>
          </w:p>
        </w:tc>
      </w:tr>
      <w:tr w14:paraId="32E71C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A8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0B33EF">
            <w:pPr>
              <w:jc w:val="center"/>
            </w:pPr>
            <w:r>
              <w:rPr>
                <w:rFonts w:ascii="宋体" w:hAnsi="宋体" w:eastAsia="宋体"/>
                <w:sz w:val="16"/>
              </w:rPr>
              <w:t>国有建设用地使用权出让项目</w:t>
            </w:r>
          </w:p>
        </w:tc>
      </w:tr>
      <w:tr w14:paraId="3FD654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8A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EB8141">
            <w:pPr>
              <w:jc w:val="center"/>
            </w:pPr>
            <w:r>
              <w:rPr>
                <w:rFonts w:ascii="宋体" w:hAnsi="宋体" w:eastAsia="宋体"/>
                <w:sz w:val="16"/>
              </w:rPr>
              <w:t>岳普湖县供销社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90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0FAF98">
            <w:pPr>
              <w:jc w:val="center"/>
            </w:pPr>
            <w:r>
              <w:rPr>
                <w:rFonts w:ascii="宋体" w:hAnsi="宋体" w:eastAsia="宋体"/>
                <w:sz w:val="16"/>
              </w:rPr>
              <w:t>岳普湖县供销社</w:t>
            </w:r>
          </w:p>
        </w:tc>
      </w:tr>
      <w:tr w14:paraId="5DDBC7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BE0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234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BD2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45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BE6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88C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F87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E66F">
            <w:pPr>
              <w:jc w:val="center"/>
            </w:pPr>
            <w:r>
              <w:rPr>
                <w:rFonts w:ascii="宋体" w:hAnsi="宋体" w:eastAsia="宋体"/>
                <w:sz w:val="16"/>
              </w:rPr>
              <w:t>得分</w:t>
            </w:r>
          </w:p>
        </w:tc>
      </w:tr>
      <w:tr w14:paraId="59C10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3C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BE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01B03">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F4CA">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DFE94">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980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78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ED2A">
            <w:pPr>
              <w:jc w:val="center"/>
            </w:pPr>
            <w:r>
              <w:rPr>
                <w:rFonts w:ascii="宋体" w:hAnsi="宋体" w:eastAsia="宋体"/>
                <w:sz w:val="16"/>
              </w:rPr>
              <w:t>10.00分</w:t>
            </w:r>
          </w:p>
        </w:tc>
      </w:tr>
      <w:tr w14:paraId="17E14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894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D4B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DD56">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DB54F">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D6A8F">
            <w:pPr>
              <w:jc w:val="center"/>
            </w:pPr>
            <w:r>
              <w:rPr>
                <w:rFonts w:ascii="宋体" w:hAnsi="宋体" w:eastAsia="宋体"/>
                <w:sz w:val="16"/>
              </w:rPr>
              <w:t>766.25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76C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8452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03C0">
            <w:pPr>
              <w:jc w:val="center"/>
            </w:pPr>
            <w:r>
              <w:rPr>
                <w:rFonts w:ascii="宋体" w:hAnsi="宋体" w:eastAsia="宋体"/>
                <w:sz w:val="16"/>
              </w:rPr>
              <w:t>—</w:t>
            </w:r>
          </w:p>
        </w:tc>
      </w:tr>
      <w:tr w14:paraId="5B674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CC6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DE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F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07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07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17E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9DF5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E42E">
            <w:pPr>
              <w:jc w:val="center"/>
            </w:pPr>
            <w:r>
              <w:rPr>
                <w:rFonts w:ascii="宋体" w:hAnsi="宋体" w:eastAsia="宋体"/>
                <w:sz w:val="16"/>
              </w:rPr>
              <w:t>—</w:t>
            </w:r>
          </w:p>
        </w:tc>
      </w:tr>
      <w:tr w14:paraId="7FB9D6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B6D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E7C4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82274">
            <w:pPr>
              <w:jc w:val="center"/>
            </w:pPr>
            <w:r>
              <w:rPr>
                <w:rFonts w:ascii="宋体" w:hAnsi="宋体" w:eastAsia="宋体"/>
                <w:sz w:val="16"/>
              </w:rPr>
              <w:t>实际完成情况</w:t>
            </w:r>
          </w:p>
        </w:tc>
      </w:tr>
      <w:tr w14:paraId="5F5F0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52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24CEB">
            <w:pPr>
              <w:jc w:val="both"/>
            </w:pPr>
            <w:r>
              <w:rPr>
                <w:rFonts w:ascii="宋体" w:hAnsi="宋体" w:eastAsia="宋体"/>
                <w:sz w:val="16"/>
              </w:rPr>
              <w:t>岳普湖县泰岳农副产品冷链保鲜批发交易市场建设项目用地以协议出让方式供给岳普湖县供销社，交易宗地面积为67598平方米，项目资金主要用于缴纳土地出让金、契税和印花税。通过项目的实施推动土地资源合理配置和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813FD">
            <w:pPr>
              <w:jc w:val="both"/>
            </w:pPr>
            <w:r>
              <w:rPr>
                <w:rFonts w:ascii="宋体" w:hAnsi="宋体" w:eastAsia="宋体"/>
                <w:sz w:val="16"/>
              </w:rPr>
              <w:t>岳普湖县泰岳农副产品冷链保鲜批发交易市场建设项目用地已经以协议出让方式供给岳普湖县供销社，交易宗地面积实际达到了67598平方米，已经按规定缴纳了交易宗地土地出让金、契税和印花税。项目预算执行率为100%。通过项目的实施有效推动了土地资源合理配置和利用。</w:t>
            </w:r>
          </w:p>
        </w:tc>
      </w:tr>
      <w:tr w14:paraId="54670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433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AC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45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73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95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C0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9D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E1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28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71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4E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03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FF9A">
            <w:pPr>
              <w:jc w:val="center"/>
            </w:pPr>
            <w:r>
              <w:rPr>
                <w:rFonts w:ascii="宋体" w:hAnsi="宋体" w:eastAsia="宋体"/>
                <w:sz w:val="16"/>
              </w:rPr>
              <w:t>偏差原因分析及改进措施</w:t>
            </w:r>
          </w:p>
        </w:tc>
      </w:tr>
      <w:tr w14:paraId="70FBBB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D01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0668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F6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FAF5">
            <w:pPr>
              <w:jc w:val="center"/>
            </w:pPr>
            <w:r>
              <w:rPr>
                <w:rFonts w:ascii="宋体" w:hAnsi="宋体" w:eastAsia="宋体"/>
                <w:sz w:val="16"/>
              </w:rPr>
              <w:t>交易宗地面积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86AD">
            <w:pPr>
              <w:jc w:val="center"/>
            </w:pPr>
            <w:r>
              <w:rPr>
                <w:rFonts w:ascii="宋体" w:hAnsi="宋体" w:eastAsia="宋体"/>
                <w:sz w:val="16"/>
              </w:rPr>
              <w:t>&gt;=67598平方米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D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BD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5A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11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3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22DC">
            <w:pPr>
              <w:jc w:val="center"/>
            </w:pPr>
            <w:r>
              <w:rPr>
                <w:rFonts w:ascii="宋体" w:hAnsi="宋体" w:eastAsia="宋体"/>
                <w:sz w:val="16"/>
              </w:rPr>
              <w:t>=67598平方米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06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A620">
            <w:pPr>
              <w:jc w:val="center"/>
            </w:pPr>
          </w:p>
        </w:tc>
      </w:tr>
      <w:tr w14:paraId="1B47A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62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0C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7F7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A67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C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7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B2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89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23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53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A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4C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15248">
            <w:pPr>
              <w:jc w:val="center"/>
            </w:pPr>
          </w:p>
        </w:tc>
      </w:tr>
      <w:tr w14:paraId="236B9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5E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E6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30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1A05">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8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8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EC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C4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A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C8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A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6A5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BCBBA">
            <w:pPr>
              <w:jc w:val="center"/>
            </w:pPr>
          </w:p>
        </w:tc>
      </w:tr>
      <w:tr w14:paraId="6E731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8C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7EB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7E2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1ED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04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5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B7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CD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8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DC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C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C3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220D">
            <w:pPr>
              <w:jc w:val="center"/>
            </w:pPr>
          </w:p>
        </w:tc>
      </w:tr>
      <w:tr w14:paraId="50107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14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F7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42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E1B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0CD9">
            <w:pPr>
              <w:jc w:val="center"/>
            </w:pPr>
            <w:r>
              <w:rPr>
                <w:rFonts w:ascii="宋体" w:hAnsi="宋体" w:eastAsia="宋体"/>
                <w:sz w:val="16"/>
              </w:rPr>
              <w:t>=2024年10月23日前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B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6E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34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EE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83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A93A">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C5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902B7">
            <w:pPr>
              <w:jc w:val="center"/>
            </w:pPr>
          </w:p>
        </w:tc>
      </w:tr>
      <w:tr w14:paraId="53ABD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276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671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660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02CC">
            <w:pPr>
              <w:jc w:val="center"/>
            </w:pPr>
            <w:r>
              <w:rPr>
                <w:rFonts w:ascii="宋体" w:hAnsi="宋体" w:eastAsia="宋体"/>
                <w:sz w:val="16"/>
              </w:rPr>
              <w:t>交易宗地单价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FE0A">
            <w:pPr>
              <w:jc w:val="center"/>
            </w:pPr>
            <w:r>
              <w:rPr>
                <w:rFonts w:ascii="宋体" w:hAnsi="宋体" w:eastAsia="宋体"/>
                <w:sz w:val="16"/>
              </w:rPr>
              <w:t>&lt;=110元/平方米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04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8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7A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01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6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7304">
            <w:pPr>
              <w:jc w:val="center"/>
            </w:pPr>
            <w:r>
              <w:rPr>
                <w:rFonts w:ascii="宋体" w:hAnsi="宋体" w:eastAsia="宋体"/>
                <w:sz w:val="16"/>
              </w:rPr>
              <w:t>=110元/平方米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F9C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F445A">
            <w:pPr>
              <w:jc w:val="center"/>
            </w:pPr>
          </w:p>
        </w:tc>
      </w:tr>
      <w:tr w14:paraId="589CA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4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A0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98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77F2">
            <w:pPr>
              <w:jc w:val="center"/>
            </w:pPr>
            <w:r>
              <w:rPr>
                <w:rFonts w:ascii="宋体" w:hAnsi="宋体" w:eastAsia="宋体"/>
                <w:sz w:val="16"/>
              </w:rPr>
              <w:t>交易宗地契税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6B07">
            <w:pPr>
              <w:jc w:val="center"/>
            </w:pPr>
            <w:r>
              <w:rPr>
                <w:rFonts w:ascii="宋体" w:hAnsi="宋体" w:eastAsia="宋体"/>
                <w:sz w:val="16"/>
              </w:rPr>
              <w:t>&lt;=223072.50元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31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D5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00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A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2E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A103">
            <w:pPr>
              <w:jc w:val="center"/>
            </w:pPr>
            <w:r>
              <w:rPr>
                <w:rFonts w:ascii="宋体" w:hAnsi="宋体" w:eastAsia="宋体"/>
                <w:sz w:val="16"/>
              </w:rPr>
              <w:t>=223072.5元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1F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04651">
            <w:pPr>
              <w:jc w:val="center"/>
            </w:pPr>
          </w:p>
        </w:tc>
      </w:tr>
      <w:tr w14:paraId="5E534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ED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A9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8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ACCD">
            <w:pPr>
              <w:jc w:val="center"/>
            </w:pPr>
            <w:r>
              <w:rPr>
                <w:rFonts w:ascii="宋体" w:hAnsi="宋体" w:eastAsia="宋体"/>
                <w:sz w:val="16"/>
              </w:rPr>
              <w:t>交易宗地印花税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47C9">
            <w:pPr>
              <w:jc w:val="center"/>
            </w:pPr>
            <w:r>
              <w:rPr>
                <w:rFonts w:ascii="宋体" w:hAnsi="宋体" w:eastAsia="宋体"/>
                <w:sz w:val="16"/>
              </w:rPr>
              <w:t>&lt;=3717.88元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66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C9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C6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87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FF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A467">
            <w:pPr>
              <w:jc w:val="center"/>
            </w:pPr>
            <w:r>
              <w:rPr>
                <w:rFonts w:ascii="宋体" w:hAnsi="宋体" w:eastAsia="宋体"/>
                <w:sz w:val="16"/>
              </w:rPr>
              <w:t>=3717.88元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FEB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F4BC">
            <w:pPr>
              <w:jc w:val="center"/>
            </w:pPr>
          </w:p>
        </w:tc>
      </w:tr>
      <w:tr w14:paraId="3005B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C7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6E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3E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FBEA">
            <w:pPr>
              <w:jc w:val="center"/>
            </w:pPr>
            <w:r>
              <w:rPr>
                <w:rFonts w:ascii="宋体" w:hAnsi="宋体" w:eastAsia="宋体"/>
                <w:sz w:val="16"/>
              </w:rPr>
              <w:t>推动土地资源合理配置和利用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14D3">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3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98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338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C7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5F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9BE6">
            <w:pPr>
              <w:jc w:val="center"/>
            </w:pPr>
            <w:r>
              <w:rPr>
                <w:rFonts w:ascii="宋体" w:hAnsi="宋体" w:eastAsia="宋体"/>
                <w:sz w:val="16"/>
              </w:rPr>
              <w:t>有效推动</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B9C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55DC">
            <w:pPr>
              <w:jc w:val="center"/>
            </w:pPr>
          </w:p>
        </w:tc>
      </w:tr>
      <w:tr w14:paraId="455A38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CDF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E2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005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D36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FBDDED"/>
        </w:tc>
      </w:tr>
    </w:tbl>
    <w:p w14:paraId="6FDF8A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0733486">
        <w:tblPrEx>
          <w:tblCellMar>
            <w:top w:w="0" w:type="dxa"/>
            <w:left w:w="108" w:type="dxa"/>
            <w:bottom w:w="0" w:type="dxa"/>
            <w:right w:w="108" w:type="dxa"/>
          </w:tblCellMar>
        </w:tblPrEx>
        <w:tc>
          <w:tcPr>
            <w:tcW w:w="8848" w:type="dxa"/>
            <w:gridSpan w:val="14"/>
            <w:vAlign w:val="center"/>
          </w:tcPr>
          <w:p w14:paraId="0F69A6F7">
            <w:pPr>
              <w:jc w:val="center"/>
            </w:pPr>
            <w:r>
              <w:rPr>
                <w:rFonts w:ascii="宋体" w:hAnsi="宋体" w:eastAsia="宋体"/>
                <w:sz w:val="24"/>
              </w:rPr>
              <w:t>项目支出绩效自评表</w:t>
            </w:r>
          </w:p>
        </w:tc>
      </w:tr>
      <w:tr w14:paraId="52BCD2FA">
        <w:tblPrEx>
          <w:tblCellMar>
            <w:top w:w="0" w:type="dxa"/>
            <w:left w:w="108" w:type="dxa"/>
            <w:bottom w:w="0" w:type="dxa"/>
            <w:right w:w="108" w:type="dxa"/>
          </w:tblCellMar>
        </w:tblPrEx>
        <w:tc>
          <w:tcPr>
            <w:tcW w:w="8848" w:type="dxa"/>
            <w:gridSpan w:val="14"/>
            <w:vAlign w:val="center"/>
          </w:tcPr>
          <w:p w14:paraId="54ACCC83">
            <w:pPr>
              <w:jc w:val="center"/>
            </w:pPr>
            <w:r>
              <w:rPr>
                <w:rFonts w:ascii="宋体" w:hAnsi="宋体" w:eastAsia="宋体"/>
                <w:sz w:val="24"/>
              </w:rPr>
              <w:t>(2024年度)</w:t>
            </w:r>
          </w:p>
        </w:tc>
      </w:tr>
      <w:tr w14:paraId="544E0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E6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AD5633">
            <w:pPr>
              <w:jc w:val="center"/>
            </w:pPr>
            <w:r>
              <w:rPr>
                <w:rFonts w:ascii="宋体" w:hAnsi="宋体" w:eastAsia="宋体"/>
                <w:sz w:val="16"/>
              </w:rPr>
              <w:t>清偿欠款项目</w:t>
            </w:r>
          </w:p>
        </w:tc>
      </w:tr>
      <w:tr w14:paraId="1CF8D0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45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54691">
            <w:pPr>
              <w:jc w:val="center"/>
            </w:pPr>
            <w:r>
              <w:rPr>
                <w:rFonts w:ascii="宋体" w:hAnsi="宋体" w:eastAsia="宋体"/>
                <w:sz w:val="16"/>
              </w:rPr>
              <w:t>岳普湖县供销社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CC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1C4311">
            <w:pPr>
              <w:jc w:val="center"/>
            </w:pPr>
            <w:r>
              <w:rPr>
                <w:rFonts w:ascii="宋体" w:hAnsi="宋体" w:eastAsia="宋体"/>
                <w:sz w:val="16"/>
              </w:rPr>
              <w:t>岳普湖县供销社</w:t>
            </w:r>
          </w:p>
        </w:tc>
      </w:tr>
      <w:tr w14:paraId="1B2BBB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CDB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A8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345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83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66B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C75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C10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C95D">
            <w:pPr>
              <w:jc w:val="center"/>
            </w:pPr>
            <w:r>
              <w:rPr>
                <w:rFonts w:ascii="宋体" w:hAnsi="宋体" w:eastAsia="宋体"/>
                <w:sz w:val="16"/>
              </w:rPr>
              <w:t>得分</w:t>
            </w:r>
          </w:p>
        </w:tc>
      </w:tr>
      <w:tr w14:paraId="5EFFE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55B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12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2BBE">
            <w:pPr>
              <w:jc w:val="center"/>
            </w:pPr>
            <w:r>
              <w:rPr>
                <w:rFonts w:ascii="宋体" w:hAnsi="宋体" w:eastAsia="宋体"/>
                <w:sz w:val="16"/>
              </w:rPr>
              <w:t>51.64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30AB1">
            <w:pPr>
              <w:jc w:val="center"/>
            </w:pPr>
            <w:r>
              <w:rPr>
                <w:rFonts w:ascii="宋体" w:hAnsi="宋体" w:eastAsia="宋体"/>
                <w:sz w:val="16"/>
              </w:rPr>
              <w:t>76.64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58C2C">
            <w:pPr>
              <w:jc w:val="center"/>
            </w:pPr>
            <w:r>
              <w:rPr>
                <w:rFonts w:ascii="宋体" w:hAnsi="宋体" w:eastAsia="宋体"/>
                <w:sz w:val="16"/>
              </w:rPr>
              <w:t>76.64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66A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F7A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A5D8">
            <w:pPr>
              <w:jc w:val="center"/>
            </w:pPr>
            <w:r>
              <w:rPr>
                <w:rFonts w:ascii="宋体" w:hAnsi="宋体" w:eastAsia="宋体"/>
                <w:sz w:val="16"/>
              </w:rPr>
              <w:t>10.00分</w:t>
            </w:r>
          </w:p>
        </w:tc>
      </w:tr>
      <w:tr w14:paraId="0F494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AD8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5B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CFB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DF7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3242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29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BE9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491E">
            <w:pPr>
              <w:jc w:val="center"/>
            </w:pPr>
            <w:r>
              <w:rPr>
                <w:rFonts w:ascii="宋体" w:hAnsi="宋体" w:eastAsia="宋体"/>
                <w:sz w:val="16"/>
              </w:rPr>
              <w:t>—</w:t>
            </w:r>
          </w:p>
        </w:tc>
      </w:tr>
      <w:tr w14:paraId="2796B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62C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917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95B5">
            <w:pPr>
              <w:jc w:val="center"/>
            </w:pPr>
            <w:r>
              <w:rPr>
                <w:rFonts w:ascii="宋体" w:hAnsi="宋体" w:eastAsia="宋体"/>
                <w:sz w:val="16"/>
              </w:rPr>
              <w:t>51.64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05E3">
            <w:pPr>
              <w:jc w:val="center"/>
            </w:pPr>
            <w:r>
              <w:rPr>
                <w:rFonts w:ascii="宋体" w:hAnsi="宋体" w:eastAsia="宋体"/>
                <w:sz w:val="16"/>
              </w:rPr>
              <w:t>51.64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F2EFC">
            <w:pPr>
              <w:jc w:val="center"/>
            </w:pPr>
            <w:r>
              <w:rPr>
                <w:rFonts w:ascii="宋体" w:hAnsi="宋体" w:eastAsia="宋体"/>
                <w:sz w:val="16"/>
              </w:rPr>
              <w:t>51.64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B8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6E1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6379">
            <w:pPr>
              <w:jc w:val="center"/>
            </w:pPr>
            <w:r>
              <w:rPr>
                <w:rFonts w:ascii="宋体" w:hAnsi="宋体" w:eastAsia="宋体"/>
                <w:sz w:val="16"/>
              </w:rPr>
              <w:t>—</w:t>
            </w:r>
          </w:p>
        </w:tc>
      </w:tr>
      <w:tr w14:paraId="1BD38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500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4C7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9CCBF2">
            <w:pPr>
              <w:jc w:val="center"/>
            </w:pPr>
            <w:r>
              <w:rPr>
                <w:rFonts w:ascii="宋体" w:hAnsi="宋体" w:eastAsia="宋体"/>
                <w:sz w:val="16"/>
              </w:rPr>
              <w:t>实际完成情况</w:t>
            </w:r>
          </w:p>
        </w:tc>
      </w:tr>
      <w:tr w14:paraId="76F19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F7E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E177D">
            <w:pPr>
              <w:jc w:val="both"/>
            </w:pPr>
            <w:r>
              <w:rPr>
                <w:rFonts w:ascii="宋体" w:hAnsi="宋体" w:eastAsia="宋体"/>
                <w:sz w:val="16"/>
              </w:rPr>
              <w:t>项目资金主要用于偿还“2022年喀什地区岳普湖县阳光巴扎果品加工建设项目”、“2022年度中国石化帮扶岳普湖县农副产品提质推广项目”和“岳普湖县乡村农产品产业园及服务体系建设项目”共计3个项目以前年度应付未付的项目欠款。确保项目欠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B9D4B">
            <w:pPr>
              <w:jc w:val="both"/>
            </w:pPr>
            <w:r>
              <w:rPr>
                <w:rFonts w:ascii="宋体" w:hAnsi="宋体" w:eastAsia="宋体"/>
                <w:sz w:val="16"/>
              </w:rPr>
              <w:t>已经及时按照规定偿还了“2022年喀什地区岳普湖县阳光巴扎果品加工建设项目”、“2022年度中国石化帮扶岳普湖县农副产品提质推广项目”和“岳普湖县乡村农产品产业园及服务体系建设项目”共计3个项目以前年度应付未付的项目欠款。项目预算执行率为100%。通过项目的实施有效提高了政府部门的履约和服务能力，进一步增强了政府公信力。</w:t>
            </w:r>
          </w:p>
        </w:tc>
      </w:tr>
      <w:tr w14:paraId="464E5F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861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BE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7D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C0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D3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BA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96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01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A4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FF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F7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26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2662F">
            <w:pPr>
              <w:jc w:val="center"/>
            </w:pPr>
            <w:r>
              <w:rPr>
                <w:rFonts w:ascii="宋体" w:hAnsi="宋体" w:eastAsia="宋体"/>
                <w:sz w:val="16"/>
              </w:rPr>
              <w:t>偏差原因分析及改进措施</w:t>
            </w:r>
          </w:p>
        </w:tc>
      </w:tr>
      <w:tr w14:paraId="0F875E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A68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D6B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11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8B2D">
            <w:pPr>
              <w:jc w:val="center"/>
            </w:pPr>
            <w:r>
              <w:rPr>
                <w:rFonts w:ascii="宋体" w:hAnsi="宋体" w:eastAsia="宋体"/>
                <w:sz w:val="16"/>
              </w:rPr>
              <w:t>经费保障偿还欠款项目数量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96C3">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8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FC5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E5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5F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1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34D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7F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E0E9">
            <w:pPr>
              <w:jc w:val="center"/>
            </w:pPr>
          </w:p>
        </w:tc>
      </w:tr>
      <w:tr w14:paraId="3A82E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67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895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C9B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8BD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D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C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B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A1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1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9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8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EF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C8A3D">
            <w:pPr>
              <w:jc w:val="center"/>
            </w:pPr>
          </w:p>
        </w:tc>
      </w:tr>
      <w:tr w14:paraId="5B6EB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40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02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F7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53C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2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A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B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31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75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58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5F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1F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DE63">
            <w:pPr>
              <w:jc w:val="center"/>
            </w:pPr>
          </w:p>
        </w:tc>
      </w:tr>
      <w:tr w14:paraId="45345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53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231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B9B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CDB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33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5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4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78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F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3A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D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6B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74804">
            <w:pPr>
              <w:jc w:val="center"/>
            </w:pPr>
          </w:p>
        </w:tc>
      </w:tr>
      <w:tr w14:paraId="3339F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A7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3E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7F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634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4991">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B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90B1">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ED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51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9A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39E1">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56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8F80A">
            <w:pPr>
              <w:jc w:val="center"/>
            </w:pPr>
          </w:p>
        </w:tc>
      </w:tr>
      <w:tr w14:paraId="25932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A5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FB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91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C0A0">
            <w:pPr>
              <w:jc w:val="center"/>
            </w:pPr>
            <w:r>
              <w:rPr>
                <w:rFonts w:ascii="宋体" w:hAnsi="宋体" w:eastAsia="宋体"/>
                <w:sz w:val="16"/>
              </w:rPr>
              <w:t>偿还欠款平均预算控制数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ECA">
            <w:pPr>
              <w:jc w:val="center"/>
            </w:pPr>
            <w:r>
              <w:rPr>
                <w:rFonts w:ascii="宋体" w:hAnsi="宋体" w:eastAsia="宋体"/>
                <w:sz w:val="16"/>
              </w:rPr>
              <w:t>&lt;=25.54万元/个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4A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92C1">
            <w:pPr>
              <w:jc w:val="center"/>
            </w:pPr>
            <w:r>
              <w:rPr>
                <w:rFonts w:ascii="宋体" w:hAnsi="宋体" w:eastAsia="宋体"/>
                <w:sz w:val="16"/>
              </w:rPr>
              <w:t>49.35万元/个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9A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5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26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61E6">
            <w:pPr>
              <w:jc w:val="center"/>
            </w:pPr>
            <w:r>
              <w:rPr>
                <w:rFonts w:ascii="宋体" w:hAnsi="宋体" w:eastAsia="宋体"/>
                <w:sz w:val="16"/>
              </w:rPr>
              <w:t>=25.54万元/个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17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6E561">
            <w:pPr>
              <w:jc w:val="center"/>
            </w:pPr>
          </w:p>
        </w:tc>
      </w:tr>
      <w:tr w14:paraId="05558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7C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6F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12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DCB6">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F0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A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B26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960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B2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6D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4D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EAE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86E3">
            <w:pPr>
              <w:jc w:val="center"/>
            </w:pPr>
          </w:p>
        </w:tc>
      </w:tr>
      <w:tr w14:paraId="64124B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B76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DD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849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6C9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A49966"/>
        </w:tc>
      </w:tr>
    </w:tbl>
    <w:p w14:paraId="3876CFC3">
      <w:r>
        <w:br w:type="page"/>
      </w:r>
    </w:p>
    <w:p w14:paraId="064F23A7">
      <w:pPr>
        <w:spacing w:line="640" w:lineRule="exact"/>
        <w:ind w:firstLine="640"/>
        <w:jc w:val="both"/>
        <w:outlineLvl w:val="2"/>
      </w:pPr>
      <w:r>
        <w:rPr>
          <w:rFonts w:ascii="黑体" w:hAnsi="黑体" w:eastAsia="黑体"/>
          <w:sz w:val="32"/>
        </w:rPr>
        <w:t>十二、其他需说明的事项</w:t>
      </w:r>
    </w:p>
    <w:p w14:paraId="13A9CBD7">
      <w:pPr>
        <w:spacing w:line="580" w:lineRule="exact"/>
        <w:ind w:firstLine="640"/>
        <w:jc w:val="both"/>
      </w:pPr>
      <w:r>
        <w:rPr>
          <w:rFonts w:ascii="仿宋_GB2312" w:hAnsi="仿宋_GB2312" w:eastAsia="仿宋_GB2312"/>
          <w:b w:val="0"/>
          <w:sz w:val="32"/>
        </w:rPr>
        <w:t>本单位无其他需说明的事项。</w:t>
      </w:r>
    </w:p>
    <w:p w14:paraId="7D69FBA3">
      <w:r>
        <w:br w:type="page"/>
      </w:r>
    </w:p>
    <w:p w14:paraId="529DCD2A">
      <w:pPr>
        <w:spacing w:line="240" w:lineRule="auto"/>
        <w:jc w:val="center"/>
        <w:outlineLvl w:val="1"/>
      </w:pPr>
      <w:r>
        <w:rPr>
          <w:rFonts w:ascii="黑体" w:hAnsi="黑体" w:eastAsia="黑体"/>
          <w:sz w:val="32"/>
        </w:rPr>
        <w:t>第三部分 专业名词解释</w:t>
      </w:r>
    </w:p>
    <w:p w14:paraId="469B63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33CB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8DE8C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2B14F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8213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6D5F3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81DD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75B82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CDDF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B4F56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676E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59315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5BA54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07E8B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7AC1DB">
      <w:r>
        <w:br w:type="page"/>
      </w:r>
    </w:p>
    <w:p w14:paraId="6080D3FB">
      <w:pPr>
        <w:spacing w:line="240" w:lineRule="auto"/>
        <w:jc w:val="center"/>
        <w:outlineLvl w:val="1"/>
      </w:pPr>
      <w:r>
        <w:rPr>
          <w:rFonts w:ascii="黑体" w:hAnsi="黑体" w:eastAsia="黑体"/>
          <w:sz w:val="32"/>
        </w:rPr>
        <w:t>第四部分 部门决算报表（见附表）</w:t>
      </w:r>
    </w:p>
    <w:p w14:paraId="38E3A043">
      <w:pPr>
        <w:spacing w:line="240" w:lineRule="auto"/>
        <w:ind w:firstLine="640"/>
        <w:jc w:val="both"/>
      </w:pPr>
      <w:r>
        <w:rPr>
          <w:rFonts w:ascii="仿宋_GB2312" w:hAnsi="仿宋_GB2312" w:eastAsia="仿宋_GB2312"/>
          <w:b w:val="0"/>
          <w:sz w:val="32"/>
        </w:rPr>
        <w:t>一、《收入支出决算总表》</w:t>
      </w:r>
    </w:p>
    <w:p w14:paraId="7E159334">
      <w:pPr>
        <w:spacing w:line="240" w:lineRule="auto"/>
        <w:ind w:firstLine="640"/>
        <w:jc w:val="both"/>
      </w:pPr>
      <w:r>
        <w:rPr>
          <w:rFonts w:ascii="仿宋_GB2312" w:hAnsi="仿宋_GB2312" w:eastAsia="仿宋_GB2312"/>
          <w:b w:val="0"/>
          <w:sz w:val="32"/>
        </w:rPr>
        <w:t>二、《收入决算表》</w:t>
      </w:r>
    </w:p>
    <w:p w14:paraId="50613675">
      <w:pPr>
        <w:spacing w:line="240" w:lineRule="auto"/>
        <w:ind w:firstLine="640"/>
        <w:jc w:val="both"/>
      </w:pPr>
      <w:r>
        <w:rPr>
          <w:rFonts w:ascii="仿宋_GB2312" w:hAnsi="仿宋_GB2312" w:eastAsia="仿宋_GB2312"/>
          <w:b w:val="0"/>
          <w:sz w:val="32"/>
        </w:rPr>
        <w:t>三、《支出决算表》</w:t>
      </w:r>
    </w:p>
    <w:p w14:paraId="19E37B4E">
      <w:pPr>
        <w:spacing w:line="240" w:lineRule="auto"/>
        <w:ind w:firstLine="640"/>
        <w:jc w:val="both"/>
      </w:pPr>
      <w:r>
        <w:rPr>
          <w:rFonts w:ascii="仿宋_GB2312" w:hAnsi="仿宋_GB2312" w:eastAsia="仿宋_GB2312"/>
          <w:b w:val="0"/>
          <w:sz w:val="32"/>
        </w:rPr>
        <w:t>四、《财政拨款收入支出决算总表》</w:t>
      </w:r>
    </w:p>
    <w:p w14:paraId="119AD408">
      <w:pPr>
        <w:spacing w:line="240" w:lineRule="auto"/>
        <w:ind w:firstLine="640"/>
        <w:jc w:val="both"/>
      </w:pPr>
      <w:r>
        <w:rPr>
          <w:rFonts w:ascii="仿宋_GB2312" w:hAnsi="仿宋_GB2312" w:eastAsia="仿宋_GB2312"/>
          <w:b w:val="0"/>
          <w:sz w:val="32"/>
        </w:rPr>
        <w:t>五、《一般公共预算财政拨款支出决算表》</w:t>
      </w:r>
    </w:p>
    <w:p w14:paraId="5B4C2A28">
      <w:pPr>
        <w:spacing w:line="240" w:lineRule="auto"/>
        <w:ind w:firstLine="640"/>
        <w:jc w:val="both"/>
      </w:pPr>
      <w:r>
        <w:rPr>
          <w:rFonts w:ascii="仿宋_GB2312" w:hAnsi="仿宋_GB2312" w:eastAsia="仿宋_GB2312"/>
          <w:b w:val="0"/>
          <w:sz w:val="32"/>
        </w:rPr>
        <w:t>六、《一般公共预算财政拨款基本支出决算表》</w:t>
      </w:r>
    </w:p>
    <w:p w14:paraId="03BEAB86">
      <w:pPr>
        <w:spacing w:line="240" w:lineRule="auto"/>
        <w:ind w:firstLine="640"/>
        <w:jc w:val="both"/>
      </w:pPr>
      <w:r>
        <w:rPr>
          <w:rFonts w:ascii="仿宋_GB2312" w:hAnsi="仿宋_GB2312" w:eastAsia="仿宋_GB2312"/>
          <w:b w:val="0"/>
          <w:sz w:val="32"/>
        </w:rPr>
        <w:t>七、《政府性基金预算财政拨款收入支出决算表》</w:t>
      </w:r>
    </w:p>
    <w:p w14:paraId="41C8E044">
      <w:pPr>
        <w:spacing w:line="240" w:lineRule="auto"/>
        <w:ind w:firstLine="640"/>
        <w:jc w:val="both"/>
      </w:pPr>
      <w:r>
        <w:rPr>
          <w:rFonts w:ascii="仿宋_GB2312" w:hAnsi="仿宋_GB2312" w:eastAsia="仿宋_GB2312"/>
          <w:b w:val="0"/>
          <w:sz w:val="32"/>
        </w:rPr>
        <w:t>八、《国有资本经营预算财政拨款收入支出决算表》</w:t>
      </w:r>
    </w:p>
    <w:p w14:paraId="17D09160">
      <w:pPr>
        <w:spacing w:line="240" w:lineRule="auto"/>
        <w:ind w:firstLine="640"/>
        <w:jc w:val="both"/>
      </w:pPr>
      <w:r>
        <w:rPr>
          <w:rFonts w:ascii="仿宋_GB2312" w:hAnsi="仿宋_GB2312" w:eastAsia="仿宋_GB2312"/>
          <w:b w:val="0"/>
          <w:sz w:val="32"/>
        </w:rPr>
        <w:t>九、《财政拨款“三公”经费支出决算表》</w:t>
      </w:r>
    </w:p>
    <w:p w14:paraId="5EB69AD5">
      <w:pPr>
        <w:spacing w:line="240" w:lineRule="auto"/>
        <w:ind w:firstLine="640"/>
        <w:jc w:val="both"/>
      </w:pPr>
    </w:p>
    <w:p w14:paraId="27775046">
      <w:pPr>
        <w:spacing w:line="240" w:lineRule="auto"/>
        <w:ind w:firstLine="640"/>
        <w:jc w:val="both"/>
      </w:pPr>
    </w:p>
    <w:p w14:paraId="73BB3E5B">
      <w:pPr>
        <w:spacing w:line="240" w:lineRule="auto"/>
        <w:ind w:firstLine="640"/>
        <w:jc w:val="both"/>
      </w:pPr>
    </w:p>
    <w:p w14:paraId="7749B6DF">
      <w:pPr>
        <w:spacing w:line="240" w:lineRule="auto"/>
        <w:ind w:firstLine="640"/>
        <w:jc w:val="both"/>
      </w:pPr>
    </w:p>
    <w:p w14:paraId="2E94FA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265424"/>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3662D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6185</Words>
  <Characters>7082</Characters>
  <Lines>0</Lines>
  <Paragraphs>0</Paragraphs>
  <TotalTime>4</TotalTime>
  <ScaleCrop>false</ScaleCrop>
  <LinksUpToDate>false</LinksUpToDate>
  <CharactersWithSpaces>7090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