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岳普湖县发展和改革委员会2024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F4A898B">
      <w:r>
        <w:br w:type="page"/>
      </w:r>
    </w:p>
    <w:p w14:paraId="513FB2E7">
      <w:pPr>
        <w:spacing w:line="640" w:lineRule="exact"/>
        <w:jc w:val="center"/>
        <w:outlineLvl w:val="1"/>
      </w:pPr>
      <w:r>
        <w:rPr>
          <w:rFonts w:ascii="黑体" w:hAnsi="黑体" w:eastAsia="黑体"/>
          <w:sz w:val="32"/>
        </w:rPr>
        <w:t>第一部分 单位概况</w:t>
      </w:r>
    </w:p>
    <w:p w14:paraId="14404E2A">
      <w:pPr>
        <w:spacing w:line="640" w:lineRule="exact"/>
        <w:ind w:firstLine="640"/>
        <w:jc w:val="both"/>
        <w:outlineLvl w:val="2"/>
      </w:pPr>
      <w:r>
        <w:rPr>
          <w:rFonts w:ascii="黑体" w:hAnsi="黑体" w:eastAsia="黑体"/>
          <w:sz w:val="32"/>
        </w:rPr>
        <w:t>一、主要职能</w:t>
      </w:r>
    </w:p>
    <w:p w14:paraId="5E85770F">
      <w:pPr>
        <w:spacing w:line="580" w:lineRule="exact"/>
        <w:ind w:firstLine="640"/>
        <w:jc w:val="both"/>
      </w:pPr>
      <w:r>
        <w:rPr>
          <w:rFonts w:ascii="仿宋_GB2312" w:hAnsi="仿宋_GB2312" w:eastAsia="仿宋_GB2312"/>
          <w:sz w:val="32"/>
        </w:rPr>
        <w:t>(一)负责指导编制、衔接对口援疆规划、专项规划和年度计划，跟踪落实援疆规划的实施。</w:t>
      </w:r>
    </w:p>
    <w:p w14:paraId="513E964E">
      <w:pPr>
        <w:spacing w:line="580" w:lineRule="exact"/>
        <w:ind w:firstLine="640"/>
        <w:jc w:val="both"/>
      </w:pPr>
      <w:r>
        <w:rPr>
          <w:rFonts w:ascii="仿宋_GB2312" w:hAnsi="仿宋_GB2312" w:eastAsia="仿宋_GB2312"/>
          <w:sz w:val="32"/>
        </w:rPr>
        <w:t>(二)负责指导各单位援疆项目的组织实施，督促检查援疆项目建设情况，协调解决项目建设中存在的问题。</w:t>
      </w:r>
    </w:p>
    <w:p w14:paraId="0DC6C195">
      <w:pPr>
        <w:spacing w:line="580" w:lineRule="exact"/>
        <w:ind w:firstLine="640"/>
        <w:jc w:val="both"/>
      </w:pPr>
      <w:r>
        <w:rPr>
          <w:rFonts w:ascii="仿宋_GB2312" w:hAnsi="仿宋_GB2312" w:eastAsia="仿宋_GB2312"/>
          <w:sz w:val="32"/>
        </w:rPr>
        <w:t>(三)负责做好各方面的协调服务及相关接待工作。</w:t>
      </w:r>
    </w:p>
    <w:p w14:paraId="41C2C26B">
      <w:pPr>
        <w:spacing w:line="580" w:lineRule="exact"/>
        <w:ind w:firstLine="640"/>
        <w:jc w:val="both"/>
      </w:pPr>
      <w:r>
        <w:rPr>
          <w:rFonts w:ascii="仿宋_GB2312" w:hAnsi="仿宋_GB2312" w:eastAsia="仿宋_GB2312"/>
          <w:sz w:val="32"/>
        </w:rPr>
        <w:t>(四)负责研究提出加快区域间经济合作的</w:t>
      </w:r>
      <w:r>
        <w:rPr>
          <w:rFonts w:hint="eastAsia" w:ascii="仿宋_GB2312" w:hAnsi="仿宋_GB2312" w:eastAsia="仿宋_GB2312"/>
          <w:sz w:val="32"/>
          <w:lang w:eastAsia="zh-CN"/>
        </w:rPr>
        <w:t>政策</w:t>
      </w:r>
      <w:r>
        <w:rPr>
          <w:rFonts w:ascii="仿宋_GB2312" w:hAnsi="仿宋_GB2312" w:eastAsia="仿宋_GB2312"/>
          <w:sz w:val="32"/>
        </w:rPr>
        <w:t>措施。</w:t>
      </w:r>
    </w:p>
    <w:p w14:paraId="4635C0C5">
      <w:pPr>
        <w:spacing w:line="580" w:lineRule="exact"/>
        <w:ind w:firstLine="640"/>
        <w:jc w:val="both"/>
      </w:pPr>
      <w:r>
        <w:rPr>
          <w:rFonts w:ascii="仿宋_GB2312" w:hAnsi="仿宋_GB2312" w:eastAsia="仿宋_GB2312"/>
          <w:sz w:val="32"/>
        </w:rPr>
        <w:t>(五)负责搞好与对口支援省市的产业对接，做好招</w:t>
      </w:r>
      <w:r>
        <w:rPr>
          <w:rFonts w:hint="eastAsia" w:ascii="仿宋_GB2312" w:hAnsi="仿宋_GB2312" w:eastAsia="仿宋_GB2312"/>
          <w:sz w:val="32"/>
          <w:lang w:eastAsia="zh-CN"/>
        </w:rPr>
        <w:t>商引资</w:t>
      </w:r>
      <w:r>
        <w:rPr>
          <w:rFonts w:ascii="仿宋_GB2312" w:hAnsi="仿宋_GB2312" w:eastAsia="仿宋_GB2312"/>
          <w:sz w:val="32"/>
        </w:rPr>
        <w:t>工作，跟踪落实招</w:t>
      </w:r>
      <w:r>
        <w:rPr>
          <w:rFonts w:hint="eastAsia" w:ascii="仿宋_GB2312" w:hAnsi="仿宋_GB2312" w:eastAsia="仿宋_GB2312"/>
          <w:sz w:val="32"/>
          <w:lang w:eastAsia="zh-CN"/>
        </w:rPr>
        <w:t>商引资</w:t>
      </w:r>
      <w:r>
        <w:rPr>
          <w:rFonts w:ascii="仿宋_GB2312" w:hAnsi="仿宋_GB2312" w:eastAsia="仿宋_GB2312"/>
          <w:sz w:val="32"/>
        </w:rPr>
        <w:t>项目。</w:t>
      </w:r>
    </w:p>
    <w:p w14:paraId="035670A8">
      <w:pPr>
        <w:spacing w:line="580" w:lineRule="exact"/>
        <w:ind w:firstLine="640"/>
        <w:jc w:val="both"/>
      </w:pPr>
      <w:r>
        <w:rPr>
          <w:rFonts w:ascii="仿宋_GB2312" w:hAnsi="仿宋_GB2312" w:eastAsia="仿宋_GB2312"/>
          <w:sz w:val="32"/>
        </w:rPr>
        <w:t>(六)负责统筹指导相关部门开展专项援疆工作，做好干部人才援疆项目的对接和协调落实。</w:t>
      </w:r>
    </w:p>
    <w:p w14:paraId="393ABCC6">
      <w:pPr>
        <w:spacing w:line="580" w:lineRule="exact"/>
        <w:ind w:firstLine="640"/>
        <w:jc w:val="both"/>
      </w:pPr>
      <w:r>
        <w:rPr>
          <w:rFonts w:ascii="仿宋_GB2312" w:hAnsi="仿宋_GB2312" w:eastAsia="仿宋_GB2312"/>
          <w:sz w:val="32"/>
        </w:rPr>
        <w:t>(七)负责落实县对口援疆工作协调领导小组安排的各项工作任务。</w:t>
      </w:r>
    </w:p>
    <w:p w14:paraId="7CA06E47">
      <w:pPr>
        <w:spacing w:line="640" w:lineRule="exact"/>
        <w:ind w:firstLine="640"/>
        <w:jc w:val="both"/>
        <w:outlineLvl w:val="2"/>
      </w:pPr>
      <w:r>
        <w:rPr>
          <w:rFonts w:ascii="黑体" w:hAnsi="黑体" w:eastAsia="黑体"/>
          <w:sz w:val="32"/>
        </w:rPr>
        <w:t>二、机构设置及人员情况</w:t>
      </w:r>
    </w:p>
    <w:p w14:paraId="72012000">
      <w:pPr>
        <w:spacing w:line="580" w:lineRule="exact"/>
        <w:ind w:firstLine="640"/>
        <w:jc w:val="both"/>
      </w:pPr>
      <w:r>
        <w:rPr>
          <w:rFonts w:ascii="仿宋_GB2312" w:hAnsi="仿宋_GB2312" w:eastAsia="仿宋_GB2312"/>
          <w:sz w:val="32"/>
        </w:rPr>
        <w:t>岳普湖县发展和改革委员会2024年度，实有人数37人，其中：在职人员18人，增加3人；离休人员0人，增加0人；退休人员19人,增加0人。</w:t>
      </w:r>
    </w:p>
    <w:p w14:paraId="00E27F1D">
      <w:pPr>
        <w:spacing w:line="580" w:lineRule="exact"/>
        <w:ind w:firstLine="640"/>
        <w:jc w:val="both"/>
      </w:pPr>
      <w:r>
        <w:rPr>
          <w:rFonts w:ascii="仿宋_GB2312" w:hAnsi="仿宋_GB2312" w:eastAsia="仿宋_GB2312"/>
          <w:sz w:val="32"/>
        </w:rPr>
        <w:t>岳普湖县发展和改革委员会无下属预算单位，下设3个科室，分别是：价格认定中心、对口援疆协调服务中心、数字化发展中心。</w:t>
      </w:r>
    </w:p>
    <w:p w14:paraId="4A2F1516">
      <w:r>
        <w:br w:type="page"/>
      </w:r>
    </w:p>
    <w:p w14:paraId="6324F21D">
      <w:pPr>
        <w:spacing w:line="240" w:lineRule="auto"/>
        <w:jc w:val="center"/>
        <w:outlineLvl w:val="1"/>
      </w:pPr>
      <w:r>
        <w:rPr>
          <w:rFonts w:ascii="黑体" w:hAnsi="黑体" w:eastAsia="黑体"/>
          <w:sz w:val="32"/>
        </w:rPr>
        <w:t>第二部分 部门决算情况说明</w:t>
      </w:r>
    </w:p>
    <w:p w14:paraId="182CBA60">
      <w:pPr>
        <w:spacing w:line="640" w:lineRule="exact"/>
        <w:ind w:firstLine="640"/>
        <w:jc w:val="both"/>
        <w:outlineLvl w:val="2"/>
      </w:pPr>
      <w:r>
        <w:rPr>
          <w:rFonts w:ascii="黑体" w:hAnsi="黑体" w:eastAsia="黑体"/>
          <w:sz w:val="32"/>
        </w:rPr>
        <w:t>一、收入支出决算总体情况说明</w:t>
      </w:r>
    </w:p>
    <w:p w14:paraId="638E0A39">
      <w:pPr>
        <w:spacing w:line="580" w:lineRule="exact"/>
        <w:ind w:firstLine="640"/>
        <w:jc w:val="both"/>
      </w:pPr>
      <w:r>
        <w:rPr>
          <w:rFonts w:ascii="仿宋_GB2312" w:hAnsi="仿宋_GB2312" w:eastAsia="仿宋_GB2312"/>
          <w:b/>
          <w:sz w:val="32"/>
        </w:rPr>
        <w:t>2024年度收入总计21,454.29万元，</w:t>
      </w:r>
      <w:r>
        <w:rPr>
          <w:rFonts w:ascii="仿宋_GB2312" w:hAnsi="仿宋_GB2312" w:eastAsia="仿宋_GB2312"/>
          <w:b w:val="0"/>
          <w:sz w:val="32"/>
        </w:rPr>
        <w:t>其中：本年收入合计21,454.29万元，使用非财政拨款结余（含专用结余）0.00万元，年初结转和结余0.00万元。</w:t>
      </w:r>
    </w:p>
    <w:p w14:paraId="0E662E03">
      <w:pPr>
        <w:spacing w:line="580" w:lineRule="exact"/>
        <w:ind w:firstLine="640"/>
        <w:jc w:val="both"/>
      </w:pPr>
      <w:r>
        <w:rPr>
          <w:rFonts w:ascii="仿宋_GB2312" w:hAnsi="仿宋_GB2312" w:eastAsia="仿宋_GB2312"/>
          <w:b/>
          <w:sz w:val="32"/>
        </w:rPr>
        <w:t>2024年度支出总计21,454.29万元，</w:t>
      </w:r>
      <w:r>
        <w:rPr>
          <w:rFonts w:ascii="仿宋_GB2312" w:hAnsi="仿宋_GB2312" w:eastAsia="仿宋_GB2312"/>
          <w:b w:val="0"/>
          <w:sz w:val="32"/>
        </w:rPr>
        <w:t>其中：本年支出合计21,454.29万元，结余分配0.00万元，年末结转和结余0.00万元。</w:t>
      </w:r>
    </w:p>
    <w:p w14:paraId="0D89BCAB">
      <w:pPr>
        <w:spacing w:line="580" w:lineRule="exact"/>
        <w:ind w:firstLine="640"/>
        <w:jc w:val="both"/>
      </w:pPr>
      <w:r>
        <w:rPr>
          <w:rFonts w:ascii="仿宋_GB2312" w:hAnsi="仿宋_GB2312" w:eastAsia="仿宋_GB2312"/>
          <w:b w:val="0"/>
          <w:sz w:val="32"/>
        </w:rPr>
        <w:t>收入支出总体与上年相比，减少35,242.13万元，下降62.16%，主要原因是：本年减少疫情防控项目，棉花目标价格补贴项目，导致经费较上年减少。</w:t>
      </w:r>
    </w:p>
    <w:p w14:paraId="0004FB1A">
      <w:pPr>
        <w:spacing w:line="640" w:lineRule="exact"/>
        <w:ind w:firstLine="640"/>
        <w:jc w:val="both"/>
        <w:outlineLvl w:val="2"/>
      </w:pPr>
      <w:r>
        <w:rPr>
          <w:rFonts w:ascii="黑体" w:hAnsi="黑体" w:eastAsia="黑体"/>
          <w:sz w:val="32"/>
        </w:rPr>
        <w:t>二、收入决算情况说明</w:t>
      </w:r>
    </w:p>
    <w:p w14:paraId="3FCAE7E0">
      <w:pPr>
        <w:spacing w:line="580" w:lineRule="exact"/>
        <w:ind w:firstLine="640"/>
        <w:jc w:val="both"/>
      </w:pPr>
      <w:r>
        <w:rPr>
          <w:rFonts w:ascii="仿宋_GB2312" w:hAnsi="仿宋_GB2312" w:eastAsia="仿宋_GB2312"/>
          <w:b/>
          <w:sz w:val="32"/>
        </w:rPr>
        <w:t>本年收入21,454.29万元，</w:t>
      </w:r>
      <w:r>
        <w:rPr>
          <w:rFonts w:ascii="仿宋_GB2312" w:hAnsi="仿宋_GB2312" w:eastAsia="仿宋_GB2312"/>
          <w:b w:val="0"/>
          <w:sz w:val="32"/>
        </w:rPr>
        <w:t>其中：财政拨款收入21,397.40万元，占99.73%；上级补助收入0.00万元，占0.00%；事业收入0.00万元，占0.00%；经营收入0.00万元，占0.00%；附属单位上缴收入0.00万元，占0.00%；其他收入56.89万元，占0.27%。</w:t>
      </w:r>
    </w:p>
    <w:p w14:paraId="4C8E98F6">
      <w:pPr>
        <w:spacing w:line="640" w:lineRule="exact"/>
        <w:ind w:firstLine="640"/>
        <w:jc w:val="both"/>
        <w:outlineLvl w:val="2"/>
      </w:pPr>
      <w:r>
        <w:rPr>
          <w:rFonts w:ascii="黑体" w:hAnsi="黑体" w:eastAsia="黑体"/>
          <w:sz w:val="32"/>
        </w:rPr>
        <w:t>三、支出决算情况说明</w:t>
      </w:r>
    </w:p>
    <w:p w14:paraId="08A1E61C">
      <w:pPr>
        <w:spacing w:line="580" w:lineRule="exact"/>
        <w:ind w:firstLine="640"/>
        <w:jc w:val="both"/>
      </w:pPr>
      <w:r>
        <w:rPr>
          <w:rFonts w:ascii="仿宋_GB2312" w:hAnsi="仿宋_GB2312" w:eastAsia="仿宋_GB2312"/>
          <w:b/>
          <w:sz w:val="32"/>
        </w:rPr>
        <w:t>本年支出21,454.29万元，</w:t>
      </w:r>
      <w:r>
        <w:rPr>
          <w:rFonts w:ascii="仿宋_GB2312" w:hAnsi="仿宋_GB2312" w:eastAsia="仿宋_GB2312"/>
          <w:b w:val="0"/>
          <w:sz w:val="32"/>
        </w:rPr>
        <w:t>其中：基本支出305.96万元，占1.43%；项目支出21,148.33万元，占98.57%；上缴上级支出0.00万元，占0.00%；经营支出0.00万元，占0.00%；对附属单位补助支出0.00万元，占0.00%。</w:t>
      </w:r>
    </w:p>
    <w:p w14:paraId="3004C3CD">
      <w:pPr>
        <w:spacing w:line="640" w:lineRule="exact"/>
        <w:ind w:firstLine="640"/>
        <w:jc w:val="both"/>
        <w:outlineLvl w:val="2"/>
      </w:pPr>
      <w:r>
        <w:rPr>
          <w:rFonts w:ascii="黑体" w:hAnsi="黑体" w:eastAsia="黑体"/>
          <w:sz w:val="32"/>
        </w:rPr>
        <w:t>四、财政拨款收入支出决算总体情况说明</w:t>
      </w:r>
    </w:p>
    <w:p w14:paraId="5A51E1E4">
      <w:pPr>
        <w:spacing w:line="580" w:lineRule="exact"/>
        <w:ind w:firstLine="640"/>
        <w:jc w:val="both"/>
      </w:pPr>
      <w:r>
        <w:rPr>
          <w:rFonts w:ascii="仿宋_GB2312" w:hAnsi="仿宋_GB2312" w:eastAsia="仿宋_GB2312"/>
          <w:b/>
          <w:sz w:val="32"/>
        </w:rPr>
        <w:t>2024年度财政拨款收入总计21,397.40万元，</w:t>
      </w:r>
      <w:r>
        <w:rPr>
          <w:rFonts w:ascii="仿宋_GB2312" w:hAnsi="仿宋_GB2312" w:eastAsia="仿宋_GB2312"/>
          <w:b w:val="0"/>
          <w:sz w:val="32"/>
        </w:rPr>
        <w:t>其中：年初财政拨款结转和结余0.00万元，本年财政拨款收入21,397.40万元。</w:t>
      </w:r>
      <w:r>
        <w:rPr>
          <w:rFonts w:ascii="仿宋_GB2312" w:hAnsi="仿宋_GB2312" w:eastAsia="仿宋_GB2312"/>
          <w:b/>
          <w:sz w:val="32"/>
        </w:rPr>
        <w:t>财政拨款支出总计21,397.40万元，</w:t>
      </w:r>
      <w:r>
        <w:rPr>
          <w:rFonts w:ascii="仿宋_GB2312" w:hAnsi="仿宋_GB2312" w:eastAsia="仿宋_GB2312"/>
          <w:b w:val="0"/>
          <w:sz w:val="32"/>
        </w:rPr>
        <w:t>其中：年末财政拨款结转和结余0.00万元，本年财政拨款支出21,397.40万元。</w:t>
      </w:r>
    </w:p>
    <w:p w14:paraId="645B041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减少35,015.73万元，下降62.07%，主要原因是：本年减少疫情防控项目，棉花目标价格补贴项目，导致经费较上年减少。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2,214.33万元，决算数21,397.40万元，预决算差异率866.31%，主要原因是：本年在职人员工资调薪，工资、社保、公积金等相关人员经费增加，年中追加人员经费；年中追加2024年棉花补贴项目经费，导致预决算存在差异。</w:t>
      </w:r>
    </w:p>
    <w:p w14:paraId="7A4EE211">
      <w:pPr>
        <w:spacing w:line="640" w:lineRule="exact"/>
        <w:ind w:firstLine="640"/>
        <w:jc w:val="both"/>
        <w:outlineLvl w:val="2"/>
      </w:pPr>
      <w:r>
        <w:rPr>
          <w:rFonts w:ascii="黑体" w:hAnsi="黑体" w:eastAsia="黑体"/>
          <w:sz w:val="32"/>
        </w:rPr>
        <w:t>五、一般公共预算财政拨款支出决算情况说明</w:t>
      </w:r>
    </w:p>
    <w:p w14:paraId="3E4FF991">
      <w:pPr>
        <w:spacing w:line="640" w:lineRule="exact"/>
        <w:ind w:firstLine="640"/>
        <w:jc w:val="both"/>
        <w:outlineLvl w:val="3"/>
      </w:pPr>
      <w:r>
        <w:rPr>
          <w:rFonts w:ascii="楷体_GB2312" w:hAnsi="楷体_GB2312" w:eastAsia="楷体_GB2312"/>
          <w:b/>
          <w:sz w:val="32"/>
        </w:rPr>
        <w:t>（一）一般公共预算财政拨款支出决算总体情况</w:t>
      </w:r>
    </w:p>
    <w:p w14:paraId="20577833">
      <w:pPr>
        <w:spacing w:line="580" w:lineRule="exact"/>
        <w:ind w:firstLine="640"/>
        <w:jc w:val="both"/>
      </w:pPr>
      <w:r>
        <w:rPr>
          <w:rFonts w:ascii="仿宋_GB2312" w:hAnsi="仿宋_GB2312" w:eastAsia="仿宋_GB2312"/>
          <w:b/>
          <w:sz w:val="32"/>
        </w:rPr>
        <w:t>2024年度一般公共预算财政拨款支出21,397.40万元，</w:t>
      </w:r>
      <w:r>
        <w:rPr>
          <w:rFonts w:ascii="仿宋_GB2312" w:hAnsi="仿宋_GB2312" w:eastAsia="仿宋_GB2312"/>
          <w:b w:val="0"/>
          <w:sz w:val="32"/>
        </w:rPr>
        <w:t>占本年支出合计的99.73%。</w:t>
      </w:r>
      <w:r>
        <w:rPr>
          <w:rFonts w:ascii="仿宋_GB2312" w:hAnsi="仿宋_GB2312" w:eastAsia="仿宋_GB2312"/>
          <w:b/>
          <w:sz w:val="32"/>
        </w:rPr>
        <w:t>与上年相比，</w:t>
      </w:r>
      <w:r>
        <w:rPr>
          <w:rFonts w:ascii="仿宋_GB2312" w:hAnsi="仿宋_GB2312" w:eastAsia="仿宋_GB2312"/>
          <w:b w:val="0"/>
          <w:sz w:val="32"/>
        </w:rPr>
        <w:t>减少32,015.73万元，下降59.94%，主要原因是：本年减少疫情防控项目，棉花目标价格补贴项目，导致经费较上年减少。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2,214.33万元，决算数21,397.40万元，预决算差异率866.31%，主要原因是：本年在职人员工资调薪，工资、社保、公积金等相关人员经费增加，年中追加人员经费；年中追加2024年棉花补贴项目经费，导致预决算存在差异。</w:t>
      </w:r>
    </w:p>
    <w:p w14:paraId="520D57A4">
      <w:pPr>
        <w:spacing w:line="640" w:lineRule="exact"/>
        <w:ind w:firstLine="640"/>
        <w:jc w:val="both"/>
        <w:outlineLvl w:val="3"/>
      </w:pPr>
      <w:r>
        <w:rPr>
          <w:rFonts w:ascii="楷体_GB2312" w:hAnsi="楷体_GB2312" w:eastAsia="楷体_GB2312"/>
          <w:b/>
          <w:sz w:val="32"/>
        </w:rPr>
        <w:t>（二）一般公共预算财政拨款支出决算结构情况</w:t>
      </w:r>
    </w:p>
    <w:p w14:paraId="72BDA9A5">
      <w:pPr>
        <w:spacing w:line="580" w:lineRule="exact"/>
        <w:ind w:firstLine="640"/>
        <w:jc w:val="both"/>
      </w:pPr>
      <w:r>
        <w:rPr>
          <w:rFonts w:ascii="仿宋_GB2312" w:hAnsi="仿宋_GB2312" w:eastAsia="仿宋_GB2312"/>
          <w:b w:val="0"/>
          <w:sz w:val="32"/>
        </w:rPr>
        <w:t>1.一般公共服务支出(类)296.96万元,占1.39%。</w:t>
      </w:r>
    </w:p>
    <w:p w14:paraId="7DB4FE68">
      <w:pPr>
        <w:spacing w:line="580" w:lineRule="exact"/>
        <w:ind w:firstLine="640"/>
        <w:jc w:val="both"/>
      </w:pPr>
      <w:r>
        <w:rPr>
          <w:rFonts w:ascii="仿宋_GB2312" w:hAnsi="仿宋_GB2312" w:eastAsia="仿宋_GB2312"/>
          <w:b w:val="0"/>
          <w:sz w:val="32"/>
        </w:rPr>
        <w:t>2.社会保障和就业支出(类)52.67万元,占0.25%。</w:t>
      </w:r>
    </w:p>
    <w:p w14:paraId="7E17B76C">
      <w:pPr>
        <w:spacing w:line="580" w:lineRule="exact"/>
        <w:ind w:firstLine="640"/>
        <w:jc w:val="both"/>
      </w:pPr>
      <w:r>
        <w:rPr>
          <w:rFonts w:ascii="仿宋_GB2312" w:hAnsi="仿宋_GB2312" w:eastAsia="仿宋_GB2312"/>
          <w:b w:val="0"/>
          <w:sz w:val="32"/>
        </w:rPr>
        <w:t>3.卫生健康支出(类)22.84万元,占0.11%。</w:t>
      </w:r>
    </w:p>
    <w:p w14:paraId="61BAA61F">
      <w:pPr>
        <w:spacing w:line="580" w:lineRule="exact"/>
        <w:ind w:firstLine="640"/>
        <w:jc w:val="both"/>
      </w:pPr>
      <w:r>
        <w:rPr>
          <w:rFonts w:ascii="仿宋_GB2312" w:hAnsi="仿宋_GB2312" w:eastAsia="仿宋_GB2312"/>
          <w:b w:val="0"/>
          <w:sz w:val="32"/>
        </w:rPr>
        <w:t>4.农林水支出(类)20,485.54万元,占95.74%。</w:t>
      </w:r>
    </w:p>
    <w:p w14:paraId="31056057">
      <w:pPr>
        <w:spacing w:line="580" w:lineRule="exact"/>
        <w:ind w:firstLine="640"/>
        <w:jc w:val="both"/>
      </w:pPr>
      <w:r>
        <w:rPr>
          <w:rFonts w:ascii="仿宋_GB2312" w:hAnsi="仿宋_GB2312" w:eastAsia="仿宋_GB2312"/>
          <w:b w:val="0"/>
          <w:sz w:val="32"/>
        </w:rPr>
        <w:t>5.住房保障支出(类)21.98万元,占0.10%。</w:t>
      </w:r>
    </w:p>
    <w:p w14:paraId="45AA3770">
      <w:pPr>
        <w:spacing w:line="580" w:lineRule="exact"/>
        <w:ind w:firstLine="640"/>
        <w:jc w:val="both"/>
      </w:pPr>
      <w:r>
        <w:rPr>
          <w:rFonts w:ascii="仿宋_GB2312" w:hAnsi="仿宋_GB2312" w:eastAsia="仿宋_GB2312"/>
          <w:b w:val="0"/>
          <w:sz w:val="32"/>
        </w:rPr>
        <w:t>6.粮油物资储备支出(类)517.42万元,占2.42%。</w:t>
      </w:r>
    </w:p>
    <w:p w14:paraId="166DBE03">
      <w:pPr>
        <w:spacing w:line="640" w:lineRule="exact"/>
        <w:ind w:firstLine="640"/>
        <w:jc w:val="both"/>
        <w:outlineLvl w:val="3"/>
      </w:pPr>
      <w:r>
        <w:rPr>
          <w:rFonts w:ascii="楷体_GB2312" w:hAnsi="楷体_GB2312" w:eastAsia="楷体_GB2312"/>
          <w:b/>
          <w:sz w:val="32"/>
        </w:rPr>
        <w:t>（三）一般公共预算财政拨款支出决算具体情况</w:t>
      </w:r>
    </w:p>
    <w:p w14:paraId="28A1FE61">
      <w:pPr>
        <w:spacing w:line="580" w:lineRule="exact"/>
        <w:ind w:firstLine="640"/>
        <w:jc w:val="both"/>
      </w:pPr>
      <w:r>
        <w:rPr>
          <w:rFonts w:ascii="仿宋_GB2312" w:hAnsi="仿宋_GB2312" w:eastAsia="仿宋_GB2312"/>
          <w:b w:val="0"/>
          <w:sz w:val="32"/>
        </w:rPr>
        <w:t>1.一般公共服务支出(类)发展与改革事务(款)行政运行(项):支出决算数为217.36万元，比上年决算减少33.54万元，下降13.37%,主要原因是：本年在职人员调入调出，人员职级不同，工资基数不同，导致人员经费较上年减少。</w:t>
      </w:r>
    </w:p>
    <w:p w14:paraId="13325F25">
      <w:pPr>
        <w:spacing w:line="580" w:lineRule="exact"/>
        <w:ind w:firstLine="640"/>
        <w:jc w:val="both"/>
      </w:pPr>
      <w:r>
        <w:rPr>
          <w:rFonts w:ascii="仿宋_GB2312" w:hAnsi="仿宋_GB2312" w:eastAsia="仿宋_GB2312"/>
          <w:b w:val="0"/>
          <w:sz w:val="32"/>
        </w:rPr>
        <w:t>2.一般公共服务支出(类)发展与改革事务(款)其他发展与改革事务支出(项):支出决算数为79.61万元，比上年决算增加59.26万元，增长291.20%,主要原因是：本年增加岳普湖县加强人才合作激励项目。</w:t>
      </w:r>
    </w:p>
    <w:p w14:paraId="52C5C50D">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3.社会保障和就业支出(类)行政事业单位养老支出(款)行政单位离退休(项):支出决算数为25.64万元，比上年决算增加3.28万元，增长14.67%,主要原因是：本年增加退休人员基础绩效奖，退休费支出增加。</w:t>
      </w:r>
    </w:p>
    <w:p w14:paraId="0CC358C0">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4.社会保障和就业支出(类)行政事业单位养老支出(款)机关事业单位基本养老保险缴费支出(项):支出决算数为27.03万元，比上年决算增加5.40万元，增长24.97%,主要原因是：本年在职人员调薪，养老保险缴费增加。</w:t>
      </w:r>
    </w:p>
    <w:p w14:paraId="2449AA81">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4.82万元，下降100.00%,主要原因是：本年无新增退休人员，职业年金缴费较上年减少。</w:t>
      </w:r>
    </w:p>
    <w:p w14:paraId="2ECAA0E5">
      <w:pPr>
        <w:spacing w:line="580" w:lineRule="exact"/>
        <w:ind w:firstLine="640"/>
        <w:jc w:val="both"/>
      </w:pPr>
      <w:r>
        <w:rPr>
          <w:rFonts w:ascii="仿宋_GB2312" w:hAnsi="仿宋_GB2312" w:eastAsia="仿宋_GB2312"/>
          <w:b w:val="0"/>
          <w:sz w:val="32"/>
        </w:rPr>
        <w:t>6.卫生健康支出(类)公共卫生(款)突发公共卫生事件应急处置(项):支出决算数为8.88万元，比上年决算减少365.60万元，下降97.63%,主要原因是：本年度减少疫情防控项目。</w:t>
      </w:r>
    </w:p>
    <w:p w14:paraId="53834462">
      <w:pPr>
        <w:spacing w:line="580" w:lineRule="exact"/>
        <w:ind w:firstLine="640"/>
        <w:jc w:val="both"/>
      </w:pPr>
      <w:r>
        <w:rPr>
          <w:rFonts w:ascii="仿宋_GB2312" w:hAnsi="仿宋_GB2312" w:eastAsia="仿宋_GB2312"/>
          <w:b w:val="0"/>
          <w:sz w:val="32"/>
        </w:rPr>
        <w:t>7.卫生健康支出(类)行政事业单位医疗(款)行政单位医疗(项):支出决算数为11.49万元，比上年决算减少4.96万元，下降30.15%,主要原因是：因退休人员医疗保险制度改革，退休人员基本医疗不再由单位缴纳，导致经费较上年减少。</w:t>
      </w:r>
    </w:p>
    <w:p w14:paraId="6DA20938">
      <w:pPr>
        <w:spacing w:line="580" w:lineRule="exact"/>
        <w:ind w:firstLine="640"/>
        <w:jc w:val="both"/>
      </w:pPr>
      <w:r>
        <w:rPr>
          <w:rFonts w:ascii="仿宋_GB2312" w:hAnsi="仿宋_GB2312" w:eastAsia="仿宋_GB2312"/>
          <w:b w:val="0"/>
          <w:sz w:val="32"/>
        </w:rPr>
        <w:t>8.卫生健康支出(类)行政事业单位医疗(款)公务员医疗补助(项):支出决算数为2.47万元，比上年决算减少2.58万元，下降51.09%,主要原因是：因退休人员医疗保险制度改革，退休人员基本医疗不再由单位缴纳，导致经费较上年减少。</w:t>
      </w:r>
    </w:p>
    <w:p w14:paraId="77702464">
      <w:pPr>
        <w:spacing w:line="580" w:lineRule="exact"/>
        <w:ind w:firstLine="640"/>
        <w:jc w:val="both"/>
      </w:pPr>
      <w:r>
        <w:rPr>
          <w:rFonts w:ascii="仿宋_GB2312" w:hAnsi="仿宋_GB2312" w:eastAsia="仿宋_GB2312"/>
          <w:b w:val="0"/>
          <w:sz w:val="32"/>
        </w:rPr>
        <w:t>9.卫生健康支出(类)其他卫生健康支出(款)其他卫生健康支出(项):支出决算数为0.00万元，比上年决算减少50.00万元，下降100.00%,主要原因是：本年度减少YQ防控和重点项目前期费用。</w:t>
      </w:r>
    </w:p>
    <w:p w14:paraId="2EB964F6">
      <w:pPr>
        <w:spacing w:line="580" w:lineRule="exact"/>
        <w:ind w:firstLine="640"/>
        <w:jc w:val="both"/>
      </w:pPr>
      <w:r>
        <w:rPr>
          <w:rFonts w:ascii="仿宋_GB2312" w:hAnsi="仿宋_GB2312" w:eastAsia="仿宋_GB2312"/>
          <w:b w:val="0"/>
          <w:sz w:val="32"/>
        </w:rPr>
        <w:t>10.农林水支出(类)目标价格补贴(款)棉花目标价格补贴(项):支出决算数为20,485.54万元，比上年决算减少31,029.80万元，下降60.23%,主要原因是：本年减少棉花补贴项目，导致经费较上年减少。</w:t>
      </w:r>
    </w:p>
    <w:p w14:paraId="374975C3">
      <w:pPr>
        <w:spacing w:line="580" w:lineRule="exact"/>
        <w:ind w:firstLine="640"/>
        <w:jc w:val="both"/>
      </w:pPr>
      <w:r>
        <w:rPr>
          <w:rFonts w:ascii="仿宋_GB2312" w:hAnsi="仿宋_GB2312" w:eastAsia="仿宋_GB2312"/>
          <w:b w:val="0"/>
          <w:sz w:val="32"/>
        </w:rPr>
        <w:t>11.住房保障支出(类)住房改革支出(款)住房公积金(项):支出决算数为21.98万元，比上年决算增加5.16万元，增长30.68%,主要原因是：本年在职人员工资基数调增，公积金缴费基数上涨，相应支出增加。</w:t>
      </w:r>
    </w:p>
    <w:p w14:paraId="0FD818AD">
      <w:pPr>
        <w:spacing w:line="580" w:lineRule="exact"/>
        <w:ind w:firstLine="640"/>
        <w:jc w:val="both"/>
      </w:pPr>
      <w:r>
        <w:rPr>
          <w:rFonts w:ascii="仿宋_GB2312" w:hAnsi="仿宋_GB2312" w:eastAsia="仿宋_GB2312"/>
          <w:b w:val="0"/>
          <w:sz w:val="32"/>
        </w:rPr>
        <w:t>12.粮油物资储备支出(类)粮油物资事务(款)粮食风险基金(项):支出决算数为53.79万元，比上年决算减少28.65万元，下降34.75%,主要原因是：本年减少成品粮和原粮承储费容量，项目承储费和利息减少。</w:t>
      </w:r>
    </w:p>
    <w:p w14:paraId="08984B62">
      <w:pPr>
        <w:spacing w:line="580" w:lineRule="exact"/>
        <w:ind w:firstLine="640"/>
        <w:jc w:val="both"/>
      </w:pPr>
      <w:r>
        <w:rPr>
          <w:rFonts w:ascii="仿宋_GB2312" w:hAnsi="仿宋_GB2312" w:eastAsia="仿宋_GB2312"/>
          <w:b w:val="0"/>
          <w:sz w:val="32"/>
        </w:rPr>
        <w:t>13.粮油物资储备支出(类)粮油物资事务(款)设施建设(项):支出决算数为0.00万元，比上年决算减少1,032.49万元，下降100.00%,主要原因是：本年减少岳普湖县粮库建设一期项目，导致经费较上年减少。</w:t>
      </w:r>
    </w:p>
    <w:p w14:paraId="6D61B0E0">
      <w:pPr>
        <w:spacing w:line="580" w:lineRule="exact"/>
        <w:ind w:firstLine="640"/>
        <w:jc w:val="both"/>
      </w:pPr>
      <w:r>
        <w:rPr>
          <w:rFonts w:ascii="仿宋_GB2312" w:hAnsi="仿宋_GB2312" w:eastAsia="仿宋_GB2312"/>
          <w:b w:val="0"/>
          <w:sz w:val="32"/>
        </w:rPr>
        <w:t>14.粮油物资储备支出(类)粮油物资事务(款)其他粮油物资事务支出(项):支出决算数为463.63万元，比上年决算增加463.63万元，增长100.00%,主要原因是：本年增加2024年产粮大县奖励，导致经费较上年增加。</w:t>
      </w:r>
    </w:p>
    <w:p w14:paraId="71B86E1E">
      <w:pPr>
        <w:spacing w:line="640" w:lineRule="exact"/>
        <w:ind w:firstLine="640"/>
        <w:jc w:val="both"/>
        <w:outlineLvl w:val="2"/>
      </w:pPr>
      <w:r>
        <w:rPr>
          <w:rFonts w:ascii="黑体" w:hAnsi="黑体" w:eastAsia="黑体"/>
          <w:sz w:val="32"/>
        </w:rPr>
        <w:t>六、一般公共预算财政拨款基本支出决算情况说明</w:t>
      </w:r>
    </w:p>
    <w:p w14:paraId="17707DB5">
      <w:pPr>
        <w:spacing w:line="580" w:lineRule="exact"/>
        <w:ind w:firstLine="640"/>
        <w:jc w:val="both"/>
      </w:pPr>
      <w:r>
        <w:rPr>
          <w:rFonts w:ascii="仿宋_GB2312" w:hAnsi="仿宋_GB2312" w:eastAsia="仿宋_GB2312"/>
          <w:b w:val="0"/>
          <w:sz w:val="32"/>
        </w:rPr>
        <w:t>2024年度一般公共预算财政拨款基本支出305.96万元，其中：</w:t>
      </w:r>
      <w:r>
        <w:rPr>
          <w:rFonts w:ascii="仿宋_GB2312" w:hAnsi="仿宋_GB2312" w:eastAsia="仿宋_GB2312"/>
          <w:b/>
          <w:sz w:val="32"/>
        </w:rPr>
        <w:t>人员经费296.77万元，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包括：基本工资、津贴补贴、奖金、绩效工资、机关事业单位基本养老保险缴费、职工基本医疗保险缴费、公务员医疗补助缴费、其他社会保障缴费、住房公积金、退休费、生活补助。</w:t>
      </w:r>
    </w:p>
    <w:p w14:paraId="497C7107">
      <w:pPr>
        <w:spacing w:line="580" w:lineRule="exact"/>
        <w:ind w:firstLine="640"/>
        <w:jc w:val="both"/>
      </w:pPr>
      <w:r>
        <w:rPr>
          <w:rFonts w:ascii="仿宋_GB2312" w:hAnsi="仿宋_GB2312" w:eastAsia="仿宋_GB2312"/>
          <w:b/>
          <w:sz w:val="32"/>
        </w:rPr>
        <w:t>公用经费9.19万元，</w:t>
      </w:r>
      <w:r>
        <w:rPr>
          <w:rFonts w:ascii="仿宋_GB2312" w:hAnsi="仿宋_GB2312" w:eastAsia="仿宋_GB2312"/>
          <w:b w:val="0"/>
          <w:sz w:val="32"/>
        </w:rPr>
        <w:t>包括：办公费、水费、邮电费、物业管理费、差旅费、维修（护）费、租赁费、劳务费、公务用车运行维护费、其他交通费用。</w:t>
      </w:r>
    </w:p>
    <w:p w14:paraId="1FF7617E">
      <w:pPr>
        <w:spacing w:line="640" w:lineRule="exact"/>
        <w:ind w:firstLine="640"/>
        <w:jc w:val="both"/>
        <w:outlineLvl w:val="2"/>
      </w:pPr>
      <w:r>
        <w:rPr>
          <w:rFonts w:ascii="黑体" w:hAnsi="黑体" w:eastAsia="黑体"/>
          <w:sz w:val="32"/>
        </w:rPr>
        <w:t>七、政府性基金预算财政拨款收入支出决算情况说明</w:t>
      </w:r>
    </w:p>
    <w:p w14:paraId="2116051C">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0E65168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减少3,000.00万元，下降100.00%，主要原因是：本年减少岳普湖县粮库建设二期项目，导致经费较上年减少。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14:paraId="50C0B931">
      <w:pPr>
        <w:spacing w:line="580" w:lineRule="exact"/>
        <w:ind w:firstLine="640"/>
        <w:jc w:val="both"/>
      </w:pPr>
      <w:r>
        <w:rPr>
          <w:rFonts w:ascii="仿宋_GB2312" w:hAnsi="仿宋_GB2312" w:eastAsia="仿宋_GB2312"/>
          <w:b w:val="0"/>
          <w:sz w:val="32"/>
        </w:rPr>
        <w:t>政府性基金预算财政拨款支出0.00万元。</w:t>
      </w:r>
    </w:p>
    <w:p w14:paraId="742817B6">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3,000.00万元，下降100.00%,主要原因是：本年减少岳普湖县粮库建设二期项目，导致经费较上年减少。</w:t>
      </w:r>
    </w:p>
    <w:p w14:paraId="7BBE5202">
      <w:pPr>
        <w:spacing w:line="640" w:lineRule="exact"/>
        <w:ind w:firstLine="640"/>
        <w:jc w:val="both"/>
        <w:outlineLvl w:val="2"/>
      </w:pPr>
      <w:r>
        <w:rPr>
          <w:rFonts w:ascii="黑体" w:hAnsi="黑体" w:eastAsia="黑体"/>
          <w:sz w:val="32"/>
        </w:rPr>
        <w:t>八、国有资本经营预算财政拨款收入支出决算情况说明</w:t>
      </w:r>
    </w:p>
    <w:p w14:paraId="60BBE55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C24D9B9">
      <w:pPr>
        <w:spacing w:line="640" w:lineRule="exact"/>
        <w:ind w:firstLine="640"/>
        <w:jc w:val="both"/>
        <w:outlineLvl w:val="2"/>
      </w:pPr>
      <w:r>
        <w:rPr>
          <w:rFonts w:ascii="黑体" w:hAnsi="黑体" w:eastAsia="黑体"/>
          <w:sz w:val="32"/>
        </w:rPr>
        <w:t>九、财政拨款“三公”经费支出决算情况说明</w:t>
      </w:r>
    </w:p>
    <w:p w14:paraId="4FA7F6A3">
      <w:pPr>
        <w:spacing w:line="580" w:lineRule="exact"/>
        <w:ind w:firstLine="640"/>
        <w:jc w:val="both"/>
      </w:pPr>
      <w:r>
        <w:rPr>
          <w:rFonts w:ascii="仿宋_GB2312" w:hAnsi="仿宋_GB2312" w:eastAsia="仿宋_GB2312"/>
          <w:b/>
          <w:sz w:val="32"/>
        </w:rPr>
        <w:t>2024年度财政拨款“三公”经费支出4.95万元，</w:t>
      </w:r>
      <w:r>
        <w:rPr>
          <w:rFonts w:ascii="仿宋_GB2312" w:hAnsi="仿宋_GB2312" w:eastAsia="仿宋_GB2312"/>
          <w:b w:val="0"/>
          <w:sz w:val="32"/>
        </w:rPr>
        <w:t>比上年增加0.16万元，增长3.34%，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4.95万元，占100.00%，比上年增加0.16万元，增长3.34%，主要原因是：本单位公务用车日渐老化，维修维护成本增加，导致公务用车运行维护费较上年增加。公务接待费支出0.00万元，占0.00%，比上年增加0.00万元，增长0.00%，主要原因是：2023年与2024年均未安排公务接待费支出。</w:t>
      </w:r>
    </w:p>
    <w:p w14:paraId="30F2CD0B">
      <w:pPr>
        <w:spacing w:line="580" w:lineRule="exact"/>
        <w:ind w:firstLine="640"/>
        <w:jc w:val="both"/>
      </w:pPr>
      <w:r>
        <w:rPr>
          <w:rFonts w:ascii="仿宋_GB2312" w:hAnsi="仿宋_GB2312" w:eastAsia="仿宋_GB2312"/>
          <w:b/>
          <w:sz w:val="32"/>
        </w:rPr>
        <w:t>具体情况如下：</w:t>
      </w:r>
    </w:p>
    <w:p w14:paraId="14D5895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DDC2551">
      <w:pPr>
        <w:spacing w:line="580" w:lineRule="exact"/>
        <w:ind w:firstLine="640"/>
        <w:jc w:val="both"/>
      </w:pPr>
      <w:r>
        <w:rPr>
          <w:rFonts w:ascii="仿宋_GB2312" w:hAnsi="仿宋_GB2312" w:eastAsia="仿宋_GB2312"/>
          <w:b w:val="0"/>
          <w:sz w:val="32"/>
        </w:rPr>
        <w:t>公务用车购置及运行维护费4.95万元，其中：公务用车购置费0.00万元，公务用车运行维护费4.95万元。公务用车运行维护费开支内容包括车辆加油费、维修费、保险费、审车费、过路费。公务用车购置数0辆，公务用车保有量3辆。国有资产占用情况中固定资产车辆3辆，与公务用车保有量差异原因是：本单位固定资产车辆与公务用车保有量一致无差异。</w:t>
      </w:r>
    </w:p>
    <w:p w14:paraId="2016633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01107D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4.95万元，决算数4.95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4.95万元，决算数4.95万元，预决算差异率0.00%，主要原因是：严格按照预算执行，预决算无差异。公务接待费全年预算数0.00万元，决算数0.00万元，预决算差异率0.00%，主要原因是：本单位无公务接待费。</w:t>
      </w:r>
    </w:p>
    <w:p w14:paraId="281B5164">
      <w:pPr>
        <w:spacing w:line="640" w:lineRule="exact"/>
        <w:ind w:firstLine="640"/>
        <w:jc w:val="both"/>
        <w:outlineLvl w:val="2"/>
      </w:pPr>
      <w:r>
        <w:rPr>
          <w:rFonts w:ascii="黑体" w:hAnsi="黑体" w:eastAsia="黑体"/>
          <w:sz w:val="32"/>
        </w:rPr>
        <w:t>十、其他重要事项的情况说明</w:t>
      </w:r>
    </w:p>
    <w:p w14:paraId="11F595F4">
      <w:pPr>
        <w:spacing w:line="640" w:lineRule="exact"/>
        <w:ind w:firstLine="640"/>
        <w:jc w:val="both"/>
        <w:outlineLvl w:val="3"/>
      </w:pPr>
      <w:r>
        <w:rPr>
          <w:rFonts w:ascii="楷体_GB2312" w:hAnsi="楷体_GB2312" w:eastAsia="楷体_GB2312"/>
          <w:b/>
          <w:sz w:val="32"/>
        </w:rPr>
        <w:t>（一）机关运行经费及公用经费支出情况</w:t>
      </w:r>
    </w:p>
    <w:p w14:paraId="4A1C31A2">
      <w:pPr>
        <w:spacing w:line="580" w:lineRule="exact"/>
        <w:ind w:firstLine="640"/>
        <w:jc w:val="both"/>
      </w:pPr>
      <w:r>
        <w:rPr>
          <w:rFonts w:ascii="仿宋_GB2312" w:hAnsi="仿宋_GB2312" w:eastAsia="仿宋_GB2312"/>
          <w:b w:val="0"/>
          <w:sz w:val="32"/>
        </w:rPr>
        <w:t>2024年度岳普湖县发展和改革委员会（行政单位和参照公务员法管理事业单位）机关运行经费支出9.19万元，比上年增加1.83万元，增长24.86%，主要原因是：本年在职人员增加，办公费用增加，本年车辆运行维护费较上年增加。</w:t>
      </w:r>
    </w:p>
    <w:p w14:paraId="60EB506D">
      <w:pPr>
        <w:spacing w:line="640" w:lineRule="exact"/>
        <w:ind w:firstLine="640"/>
        <w:jc w:val="both"/>
        <w:outlineLvl w:val="3"/>
      </w:pPr>
      <w:r>
        <w:rPr>
          <w:rFonts w:ascii="楷体_GB2312" w:hAnsi="楷体_GB2312" w:eastAsia="楷体_GB2312"/>
          <w:b/>
          <w:sz w:val="32"/>
        </w:rPr>
        <w:t>（二）政府采购情况</w:t>
      </w:r>
    </w:p>
    <w:p w14:paraId="2479816F">
      <w:pPr>
        <w:spacing w:line="580" w:lineRule="exact"/>
        <w:ind w:firstLine="640"/>
        <w:jc w:val="both"/>
      </w:pPr>
      <w:r>
        <w:rPr>
          <w:rFonts w:ascii="仿宋_GB2312" w:hAnsi="仿宋_GB2312" w:eastAsia="仿宋_GB2312"/>
          <w:b w:val="0"/>
          <w:sz w:val="32"/>
        </w:rPr>
        <w:t>2024年度政府采购支出总额2.45万元，其中：政府采购货物支出0.00万元、政府采购工程支出0.00万元、政府采购服务支出2.45万元。</w:t>
      </w:r>
    </w:p>
    <w:p w14:paraId="21D076C0">
      <w:pPr>
        <w:spacing w:line="580" w:lineRule="exact"/>
        <w:ind w:firstLine="640"/>
        <w:jc w:val="both"/>
      </w:pPr>
      <w:r>
        <w:rPr>
          <w:rFonts w:ascii="仿宋_GB2312" w:hAnsi="仿宋_GB2312" w:eastAsia="仿宋_GB2312"/>
          <w:b w:val="0"/>
          <w:sz w:val="32"/>
        </w:rPr>
        <w:t>授予中小企业合同金额2.45万元，占政府采购支出总额的100.00%，其中：授予小微企业合同金额2.45万元，占政府采购支出总额的100.00%。</w:t>
      </w:r>
    </w:p>
    <w:p w14:paraId="0626F160">
      <w:pPr>
        <w:spacing w:line="640" w:lineRule="exact"/>
        <w:ind w:firstLine="640"/>
        <w:jc w:val="both"/>
        <w:outlineLvl w:val="3"/>
      </w:pPr>
      <w:r>
        <w:rPr>
          <w:rFonts w:ascii="楷体_GB2312" w:hAnsi="楷体_GB2312" w:eastAsia="楷体_GB2312"/>
          <w:b/>
          <w:sz w:val="32"/>
        </w:rPr>
        <w:t>（三）国有资产占用情况说明</w:t>
      </w:r>
    </w:p>
    <w:p w14:paraId="00B273C7">
      <w:pPr>
        <w:spacing w:line="580" w:lineRule="exact"/>
        <w:ind w:firstLine="640"/>
        <w:jc w:val="both"/>
      </w:pPr>
      <w:r>
        <w:rPr>
          <w:rFonts w:ascii="仿宋_GB2312" w:hAnsi="仿宋_GB2312" w:eastAsia="仿宋_GB2312"/>
          <w:b w:val="0"/>
          <w:sz w:val="32"/>
        </w:rPr>
        <w:t>截至2024年12月31日，房屋1,009.00平方米，价值133.21万元。车辆3辆，价值55.20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1台（套）。</w:t>
      </w:r>
    </w:p>
    <w:p w14:paraId="0869842E">
      <w:pPr>
        <w:spacing w:line="640" w:lineRule="exact"/>
        <w:ind w:firstLine="640"/>
        <w:jc w:val="both"/>
        <w:outlineLvl w:val="2"/>
      </w:pPr>
      <w:r>
        <w:rPr>
          <w:rFonts w:ascii="黑体" w:hAnsi="黑体" w:eastAsia="黑体"/>
          <w:sz w:val="32"/>
        </w:rPr>
        <w:t>十一、预算绩效的情况说明</w:t>
      </w:r>
    </w:p>
    <w:p w14:paraId="2D6E404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21,454.29万元，实际执行总额21,454.29万元；预算绩效评价项目6个，全年预算数215.24万元，全年执行数189.17万元。预算绩效管理取得的成效：一是单位领导重视。单位领导高度重视，分管领导具体负责，专门成立项目绩效评价工作组，负责项目工作的指挥、协调，明确工作职责。充分发挥其职能作用；二是项目管理规范。</w:t>
      </w:r>
      <w:r>
        <w:rPr>
          <w:rFonts w:hint="eastAsia" w:ascii="仿宋_GB2312" w:hAnsi="仿宋_GB2312" w:eastAsia="仿宋_GB2312"/>
          <w:b w:val="0"/>
          <w:sz w:val="32"/>
          <w:lang w:eastAsia="zh-CN"/>
        </w:rPr>
        <w:t>本单位</w:t>
      </w:r>
      <w:r>
        <w:rPr>
          <w:rFonts w:ascii="仿宋_GB2312" w:hAnsi="仿宋_GB2312" w:eastAsia="仿宋_GB2312"/>
          <w:b w:val="0"/>
          <w:sz w:val="32"/>
        </w:rPr>
        <w:t>从多方面对本项目的实施进行研究和预算绩效管理，管理制度完善、责任落实到位，在项目实施过程对项目的事前、事中、事后全方位、全过程进行分析、掌握，注重评价过程的记录和档案整理，为下一年度工作提供依据；三是注重沟通协调。对项目推进过程中出现的问题及时进行沟通、整改，尽早拿出解决措施加以应对，确保项目顺利进行，保障项目按期完成；四是强化监督考核。加大项目监管力度，切实让项目受益人员享受到项目所产生的效益，安排项目分管领导，做好项目执行过程中的监督管理，跟踪考核机制的完善且保障运行有效，结合项目完成情况和工作实施，强化考核验收。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部分人员缺乏相关绩效管理专业知识，自评价工作还存在自我审定的局限性，影响评价质量；二是因轮岗、调动等因素使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三是缺少带着问题去评价的意识，现场评价的工作量少，后续效益评价具体措施和方法不足；四是过于重视项目短期行为，不注重项目的后续管理，人员培训不够。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三是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四是进一步完善项目评价过程中有关数据和资料的收集、整理、审核及分析。项目启动时同步做好档案的归纳与整理，及时整理、收集、汇总，健全档案资料。项目后续管理有待进一步加强和跟踪；五是通过绩效管理，发现实施中存在漏洞，以后加强管理，及时掌握与之相关的各类信息，减少成本，使资金效益最大化；六是评价工作应从项目实施方案源头抓起，评价工作和意识应贯穿项目整个过程。具体附整体支出绩效自评表，项目支出绩效自评表和评价报告。</w:t>
      </w:r>
    </w:p>
    <w:p w14:paraId="3F0CCFC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3B4A81A">
        <w:tblPrEx>
          <w:tblCellMar>
            <w:top w:w="0" w:type="dxa"/>
            <w:left w:w="108" w:type="dxa"/>
            <w:bottom w:w="0" w:type="dxa"/>
            <w:right w:w="108" w:type="dxa"/>
          </w:tblCellMar>
        </w:tblPrEx>
        <w:tc>
          <w:tcPr>
            <w:tcW w:w="8847" w:type="dxa"/>
            <w:gridSpan w:val="9"/>
            <w:vAlign w:val="center"/>
          </w:tcPr>
          <w:p w14:paraId="3623E7FC">
            <w:pPr>
              <w:jc w:val="center"/>
            </w:pPr>
            <w:r>
              <w:rPr>
                <w:rFonts w:ascii="宋体" w:hAnsi="宋体" w:eastAsia="宋体"/>
                <w:sz w:val="24"/>
              </w:rPr>
              <w:t>单位整体支出绩效自评表</w:t>
            </w:r>
          </w:p>
        </w:tc>
      </w:tr>
      <w:tr w14:paraId="0542A3DF">
        <w:tblPrEx>
          <w:tblCellMar>
            <w:top w:w="0" w:type="dxa"/>
            <w:left w:w="108" w:type="dxa"/>
            <w:bottom w:w="0" w:type="dxa"/>
            <w:right w:w="108" w:type="dxa"/>
          </w:tblCellMar>
        </w:tblPrEx>
        <w:tc>
          <w:tcPr>
            <w:tcW w:w="8847" w:type="dxa"/>
            <w:gridSpan w:val="9"/>
            <w:vAlign w:val="center"/>
          </w:tcPr>
          <w:p w14:paraId="03679B76">
            <w:pPr>
              <w:jc w:val="center"/>
            </w:pPr>
            <w:r>
              <w:rPr>
                <w:rFonts w:ascii="宋体" w:hAnsi="宋体" w:eastAsia="宋体"/>
                <w:sz w:val="24"/>
              </w:rPr>
              <w:t>（2024年度）</w:t>
            </w:r>
          </w:p>
        </w:tc>
      </w:tr>
      <w:tr w14:paraId="6C5DB05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6A1F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1F0643E">
            <w:pPr>
              <w:jc w:val="center"/>
            </w:pPr>
            <w:r>
              <w:rPr>
                <w:rFonts w:ascii="宋体" w:hAnsi="宋体" w:eastAsia="宋体"/>
                <w:sz w:val="16"/>
              </w:rPr>
              <w:t>岳普湖县发展和改革委员会</w:t>
            </w:r>
          </w:p>
        </w:tc>
      </w:tr>
      <w:tr w14:paraId="63A8B07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BD6D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35FB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99DC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0FE1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11FA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DDB2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9719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B581F">
            <w:pPr>
              <w:jc w:val="center"/>
            </w:pPr>
            <w:r>
              <w:rPr>
                <w:rFonts w:ascii="宋体" w:hAnsi="宋体" w:eastAsia="宋体"/>
                <w:sz w:val="16"/>
              </w:rPr>
              <w:t>得分</w:t>
            </w:r>
          </w:p>
        </w:tc>
      </w:tr>
      <w:tr w14:paraId="1518D4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2F5F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1293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FC7F0">
            <w:pPr>
              <w:jc w:val="center"/>
            </w:pPr>
            <w:r>
              <w:rPr>
                <w:rFonts w:ascii="宋体" w:hAnsi="宋体" w:eastAsia="宋体"/>
                <w:sz w:val="16"/>
              </w:rPr>
              <w:t>2,214.33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2E71D">
            <w:pPr>
              <w:jc w:val="center"/>
            </w:pPr>
            <w:r>
              <w:rPr>
                <w:rFonts w:ascii="宋体" w:hAnsi="宋体" w:eastAsia="宋体"/>
                <w:sz w:val="16"/>
              </w:rPr>
              <w:t>21,454.29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62608">
            <w:pPr>
              <w:jc w:val="center"/>
            </w:pPr>
            <w:r>
              <w:rPr>
                <w:rFonts w:ascii="宋体" w:hAnsi="宋体" w:eastAsia="宋体"/>
                <w:sz w:val="16"/>
              </w:rPr>
              <w:t>21,454.29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40F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C97EA">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75F4F">
            <w:pPr>
              <w:jc w:val="center"/>
            </w:pPr>
            <w:r>
              <w:rPr>
                <w:rFonts w:ascii="宋体" w:hAnsi="宋体" w:eastAsia="宋体"/>
                <w:sz w:val="16"/>
              </w:rPr>
              <w:t>10</w:t>
            </w:r>
          </w:p>
        </w:tc>
      </w:tr>
      <w:tr w14:paraId="6BED62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0ABB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9F8B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856BD">
            <w:pPr>
              <w:jc w:val="center"/>
            </w:pPr>
            <w:r>
              <w:rPr>
                <w:rFonts w:ascii="宋体" w:hAnsi="宋体" w:eastAsia="宋体"/>
                <w:sz w:val="16"/>
              </w:rPr>
              <w:t>1,923.42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068D8">
            <w:pPr>
              <w:jc w:val="center"/>
            </w:pPr>
            <w:r>
              <w:rPr>
                <w:rFonts w:ascii="宋体" w:hAnsi="宋体" w:eastAsia="宋体"/>
                <w:sz w:val="16"/>
              </w:rPr>
              <w:t>21,178.74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9FA2B">
            <w:pPr>
              <w:jc w:val="center"/>
            </w:pPr>
            <w:r>
              <w:rPr>
                <w:rFonts w:ascii="宋体" w:hAnsi="宋体" w:eastAsia="宋体"/>
                <w:sz w:val="16"/>
              </w:rPr>
              <w:t>21,178.74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F40C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850F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8A7F6">
            <w:pPr>
              <w:jc w:val="center"/>
            </w:pPr>
            <w:r>
              <w:rPr>
                <w:rFonts w:ascii="宋体" w:hAnsi="宋体" w:eastAsia="宋体"/>
                <w:sz w:val="16"/>
              </w:rPr>
              <w:t>—</w:t>
            </w:r>
          </w:p>
        </w:tc>
      </w:tr>
      <w:tr w14:paraId="05BFBD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DE61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89DD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3AB83">
            <w:pPr>
              <w:jc w:val="center"/>
            </w:pPr>
            <w:r>
              <w:rPr>
                <w:rFonts w:ascii="宋体" w:hAnsi="宋体" w:eastAsia="宋体"/>
                <w:sz w:val="16"/>
              </w:rPr>
              <w:t>290.91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647F2">
            <w:pPr>
              <w:jc w:val="center"/>
            </w:pPr>
            <w:r>
              <w:rPr>
                <w:rFonts w:ascii="宋体" w:hAnsi="宋体" w:eastAsia="宋体"/>
                <w:sz w:val="16"/>
              </w:rPr>
              <w:t>275.55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2981A">
            <w:pPr>
              <w:jc w:val="center"/>
            </w:pPr>
            <w:r>
              <w:rPr>
                <w:rFonts w:ascii="宋体" w:hAnsi="宋体" w:eastAsia="宋体"/>
                <w:sz w:val="16"/>
              </w:rPr>
              <w:t>275.55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7102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EAA3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88C9E">
            <w:pPr>
              <w:jc w:val="center"/>
            </w:pPr>
            <w:r>
              <w:rPr>
                <w:rFonts w:ascii="宋体" w:hAnsi="宋体" w:eastAsia="宋体"/>
                <w:sz w:val="16"/>
              </w:rPr>
              <w:t>—</w:t>
            </w:r>
          </w:p>
        </w:tc>
      </w:tr>
      <w:tr w14:paraId="27B192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ED20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98DE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B51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8211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E4C0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5B3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C082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AE2B0">
            <w:pPr>
              <w:jc w:val="center"/>
            </w:pPr>
            <w:r>
              <w:rPr>
                <w:rFonts w:ascii="宋体" w:hAnsi="宋体" w:eastAsia="宋体"/>
                <w:sz w:val="16"/>
              </w:rPr>
              <w:t>—</w:t>
            </w:r>
          </w:p>
        </w:tc>
      </w:tr>
      <w:tr w14:paraId="323EC26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1C60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EE2D3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BDAD45">
            <w:pPr>
              <w:jc w:val="center"/>
            </w:pPr>
            <w:r>
              <w:rPr>
                <w:rFonts w:ascii="宋体" w:hAnsi="宋体" w:eastAsia="宋体"/>
                <w:sz w:val="16"/>
              </w:rPr>
              <w:t>实际完成情况</w:t>
            </w:r>
          </w:p>
        </w:tc>
      </w:tr>
      <w:tr w14:paraId="795831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5E275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326570">
            <w:pPr>
              <w:jc w:val="both"/>
            </w:pPr>
            <w:r>
              <w:rPr>
                <w:rFonts w:ascii="宋体" w:hAnsi="宋体" w:eastAsia="宋体"/>
                <w:sz w:val="16"/>
              </w:rPr>
              <w:t>政策性储备原粮7500吨，固定资产投资增速8%以上。加强经济运行分析，促进固定资产投资，夯实产业发展基础；积极开展托市粮食收储，加强粮食产销合作，加强应急物资储备；加强价费管理和服务，扎实开展清费降本减负，强化价格监测、预警、分析；完善重大项目建设责任制和调度管理，推进重点项目建设，提高项目审批效率，优化服务水平，加强信用监管，进一步优化营商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51A140">
            <w:pPr>
              <w:jc w:val="both"/>
            </w:pPr>
            <w:r>
              <w:rPr>
                <w:rFonts w:ascii="宋体" w:hAnsi="宋体" w:eastAsia="宋体"/>
                <w:sz w:val="16"/>
              </w:rPr>
              <w:t>政策性储备原粮全年完成了7500吨，固定资产投资增速达到了8.1%，2024年度持续加强了经济运行分析，积极开展托市粮食收储，加强了粮食产销合作，加强了应急物资储备，政策性储备原粮任务按期及时完成；进一步加强了价费管理和服务，扎实开展了清费降本减负，价格监测、预警、分析及时开展；重大项目建设责任制有效落实，调度管理一切正常，推进了重点项目建设，项目审批及时完成，优化提升了服务水平，不断加强了信用监管，进一步改善了岳普湖县营商环境。</w:t>
            </w:r>
          </w:p>
        </w:tc>
      </w:tr>
      <w:tr w14:paraId="14EDD7E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0B20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20D7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E72B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E66B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20E1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EE65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37B8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2A1F8">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0ED1E">
            <w:pPr>
              <w:jc w:val="center"/>
            </w:pPr>
            <w:r>
              <w:rPr>
                <w:rFonts w:ascii="宋体" w:hAnsi="宋体" w:eastAsia="宋体"/>
                <w:sz w:val="16"/>
              </w:rPr>
              <w:t>得分</w:t>
            </w:r>
          </w:p>
        </w:tc>
      </w:tr>
      <w:tr w14:paraId="257F394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BE229">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5809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9CB22">
            <w:pPr>
              <w:jc w:val="center"/>
            </w:pPr>
            <w:r>
              <w:rPr>
                <w:rFonts w:ascii="宋体" w:hAnsi="宋体" w:eastAsia="宋体"/>
                <w:sz w:val="16"/>
              </w:rPr>
              <w:t>政策性储备原粮数量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5321A">
            <w:pPr>
              <w:jc w:val="center"/>
            </w:pPr>
            <w:r>
              <w:rPr>
                <w:rFonts w:ascii="宋体" w:hAnsi="宋体" w:eastAsia="宋体"/>
                <w:sz w:val="16"/>
              </w:rPr>
              <w:t>&gt;=7500吨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47C0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000E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F6119">
            <w:pPr>
              <w:jc w:val="center"/>
            </w:pPr>
            <w:r>
              <w:rPr>
                <w:rFonts w:ascii="宋体" w:hAnsi="宋体" w:eastAsia="宋体"/>
                <w:sz w:val="16"/>
              </w:rPr>
              <w:t>7500吨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A42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F64ED">
            <w:pPr>
              <w:jc w:val="center"/>
            </w:pPr>
            <w:r>
              <w:rPr>
                <w:rFonts w:ascii="宋体" w:hAnsi="宋体" w:eastAsia="宋体"/>
                <w:sz w:val="16"/>
              </w:rPr>
              <w:t>18</w:t>
            </w:r>
          </w:p>
        </w:tc>
      </w:tr>
      <w:tr w14:paraId="7B5946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A9B74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E39C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AB3A8">
            <w:pPr>
              <w:jc w:val="center"/>
            </w:pPr>
            <w:r>
              <w:rPr>
                <w:rFonts w:ascii="宋体" w:hAnsi="宋体" w:eastAsia="宋体"/>
                <w:sz w:val="16"/>
              </w:rPr>
              <w:t>原粮储备任务完成率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10D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DB0E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A8F1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0B5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A5E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D5ED8">
            <w:pPr>
              <w:jc w:val="center"/>
            </w:pPr>
            <w:r>
              <w:rPr>
                <w:rFonts w:ascii="宋体" w:hAnsi="宋体" w:eastAsia="宋体"/>
                <w:sz w:val="16"/>
              </w:rPr>
              <w:t>18</w:t>
            </w:r>
          </w:p>
        </w:tc>
      </w:tr>
      <w:tr w14:paraId="0665BE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155B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7D6B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12A41">
            <w:pPr>
              <w:jc w:val="center"/>
            </w:pPr>
            <w:r>
              <w:rPr>
                <w:rFonts w:ascii="宋体" w:hAnsi="宋体" w:eastAsia="宋体"/>
                <w:sz w:val="16"/>
              </w:rPr>
              <w:t>固定资产投资增速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E6802">
            <w:pPr>
              <w:jc w:val="center"/>
            </w:pPr>
            <w:r>
              <w:rPr>
                <w:rFonts w:ascii="宋体" w:hAnsi="宋体" w:eastAsia="宋体"/>
                <w:sz w:val="16"/>
              </w:rPr>
              <w:t>&gt;=8%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A80B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057E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05EA7">
            <w:pPr>
              <w:jc w:val="center"/>
            </w:pPr>
            <w:r>
              <w:rPr>
                <w:rFonts w:ascii="宋体" w:hAnsi="宋体" w:eastAsia="宋体"/>
                <w:sz w:val="16"/>
              </w:rPr>
              <w:t>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D0CF0">
            <w:pPr>
              <w:jc w:val="center"/>
            </w:pPr>
            <w:r>
              <w:rPr>
                <w:rFonts w:ascii="宋体" w:hAnsi="宋体" w:eastAsia="宋体"/>
                <w:sz w:val="16"/>
              </w:rPr>
              <w:t>101.25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6016D">
            <w:pPr>
              <w:jc w:val="center"/>
            </w:pPr>
            <w:r>
              <w:rPr>
                <w:rFonts w:ascii="宋体" w:hAnsi="宋体" w:eastAsia="宋体"/>
                <w:sz w:val="16"/>
              </w:rPr>
              <w:t>18</w:t>
            </w:r>
          </w:p>
        </w:tc>
      </w:tr>
      <w:tr w14:paraId="1F85DF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0C73E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3415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3562F">
            <w:pPr>
              <w:jc w:val="center"/>
            </w:pPr>
            <w:r>
              <w:rPr>
                <w:rFonts w:ascii="宋体" w:hAnsi="宋体" w:eastAsia="宋体"/>
                <w:sz w:val="16"/>
              </w:rPr>
              <w:t>重大项目审批调度及时率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D4B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4FB3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5625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8CA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E8B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CC70D">
            <w:pPr>
              <w:jc w:val="center"/>
            </w:pPr>
            <w:r>
              <w:rPr>
                <w:rFonts w:ascii="宋体" w:hAnsi="宋体" w:eastAsia="宋体"/>
                <w:sz w:val="16"/>
              </w:rPr>
              <w:t>18</w:t>
            </w:r>
          </w:p>
        </w:tc>
      </w:tr>
      <w:tr w14:paraId="3E7C63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9904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40DC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EB80C">
            <w:pPr>
              <w:jc w:val="center"/>
            </w:pPr>
            <w:r>
              <w:rPr>
                <w:rFonts w:ascii="宋体" w:hAnsi="宋体" w:eastAsia="宋体"/>
                <w:sz w:val="16"/>
              </w:rPr>
              <w:t>价格监测预警及时率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9E5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7E2D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943A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D31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A9A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0C722">
            <w:pPr>
              <w:jc w:val="center"/>
            </w:pPr>
            <w:r>
              <w:rPr>
                <w:rFonts w:ascii="宋体" w:hAnsi="宋体" w:eastAsia="宋体"/>
                <w:sz w:val="16"/>
              </w:rPr>
              <w:t>18</w:t>
            </w:r>
          </w:p>
        </w:tc>
      </w:tr>
    </w:tbl>
    <w:p w14:paraId="43601F9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6E9DF4E">
        <w:tblPrEx>
          <w:tblCellMar>
            <w:top w:w="0" w:type="dxa"/>
            <w:left w:w="108" w:type="dxa"/>
            <w:bottom w:w="0" w:type="dxa"/>
            <w:right w:w="108" w:type="dxa"/>
          </w:tblCellMar>
        </w:tblPrEx>
        <w:tc>
          <w:tcPr>
            <w:tcW w:w="8848" w:type="dxa"/>
            <w:gridSpan w:val="14"/>
            <w:vAlign w:val="center"/>
          </w:tcPr>
          <w:p w14:paraId="1E16FBF3">
            <w:pPr>
              <w:jc w:val="center"/>
            </w:pPr>
            <w:r>
              <w:rPr>
                <w:rFonts w:ascii="宋体" w:hAnsi="宋体" w:eastAsia="宋体"/>
                <w:sz w:val="24"/>
              </w:rPr>
              <w:t>项目支出绩效自评表</w:t>
            </w:r>
          </w:p>
        </w:tc>
      </w:tr>
      <w:tr w14:paraId="3C92D653">
        <w:tblPrEx>
          <w:tblCellMar>
            <w:top w:w="0" w:type="dxa"/>
            <w:left w:w="108" w:type="dxa"/>
            <w:bottom w:w="0" w:type="dxa"/>
            <w:right w:w="108" w:type="dxa"/>
          </w:tblCellMar>
        </w:tblPrEx>
        <w:tc>
          <w:tcPr>
            <w:tcW w:w="8848" w:type="dxa"/>
            <w:gridSpan w:val="14"/>
            <w:vAlign w:val="center"/>
          </w:tcPr>
          <w:p w14:paraId="47402D7D">
            <w:pPr>
              <w:jc w:val="center"/>
            </w:pPr>
            <w:r>
              <w:rPr>
                <w:rFonts w:ascii="宋体" w:hAnsi="宋体" w:eastAsia="宋体"/>
                <w:sz w:val="24"/>
              </w:rPr>
              <w:t>(2024年度)</w:t>
            </w:r>
          </w:p>
        </w:tc>
      </w:tr>
      <w:tr w14:paraId="3BC50F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33F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7BF5F3">
            <w:pPr>
              <w:jc w:val="center"/>
            </w:pPr>
            <w:r>
              <w:rPr>
                <w:rFonts w:ascii="宋体" w:hAnsi="宋体" w:eastAsia="宋体"/>
                <w:sz w:val="16"/>
              </w:rPr>
              <w:t>2024年农产品成本调查经费项目</w:t>
            </w:r>
          </w:p>
        </w:tc>
      </w:tr>
      <w:tr w14:paraId="7AFF69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23D2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7440B8">
            <w:pPr>
              <w:jc w:val="center"/>
            </w:pPr>
            <w:r>
              <w:rPr>
                <w:rFonts w:ascii="宋体" w:hAnsi="宋体" w:eastAsia="宋体"/>
                <w:sz w:val="16"/>
              </w:rPr>
              <w:t>岳普湖县发展和改革委员会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7B50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D94E86">
            <w:pPr>
              <w:jc w:val="center"/>
            </w:pPr>
            <w:r>
              <w:rPr>
                <w:rFonts w:ascii="宋体" w:hAnsi="宋体" w:eastAsia="宋体"/>
                <w:sz w:val="16"/>
              </w:rPr>
              <w:t>岳普湖县发展和改革委员会</w:t>
            </w:r>
          </w:p>
        </w:tc>
      </w:tr>
      <w:tr w14:paraId="02DBCA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1C09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5EFB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0FBE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1EC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3F0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503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6F1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DCE4">
            <w:pPr>
              <w:jc w:val="center"/>
            </w:pPr>
            <w:r>
              <w:rPr>
                <w:rFonts w:ascii="宋体" w:hAnsi="宋体" w:eastAsia="宋体"/>
                <w:sz w:val="16"/>
              </w:rPr>
              <w:t>得分</w:t>
            </w:r>
          </w:p>
        </w:tc>
      </w:tr>
      <w:tr w14:paraId="2BB2EC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793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8A3F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35532">
            <w:pPr>
              <w:jc w:val="center"/>
            </w:pPr>
            <w:r>
              <w:rPr>
                <w:rFonts w:ascii="宋体" w:hAnsi="宋体" w:eastAsia="宋体"/>
                <w:sz w:val="16"/>
              </w:rPr>
              <w:t>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2491D">
            <w:pPr>
              <w:jc w:val="center"/>
            </w:pPr>
            <w:r>
              <w:rPr>
                <w:rFonts w:ascii="宋体" w:hAnsi="宋体" w:eastAsia="宋体"/>
                <w:sz w:val="16"/>
              </w:rPr>
              <w:t>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888AB">
            <w:pPr>
              <w:jc w:val="center"/>
            </w:pPr>
            <w:r>
              <w:rPr>
                <w:rFonts w:ascii="宋体" w:hAnsi="宋体" w:eastAsia="宋体"/>
                <w:sz w:val="16"/>
              </w:rPr>
              <w:t>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50D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072A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6A51">
            <w:pPr>
              <w:jc w:val="center"/>
            </w:pPr>
            <w:r>
              <w:rPr>
                <w:rFonts w:ascii="宋体" w:hAnsi="宋体" w:eastAsia="宋体"/>
                <w:sz w:val="16"/>
              </w:rPr>
              <w:t>10.00分</w:t>
            </w:r>
          </w:p>
        </w:tc>
      </w:tr>
      <w:tr w14:paraId="73AA0D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6D9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DC8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AB4AE">
            <w:pPr>
              <w:jc w:val="center"/>
            </w:pPr>
            <w:r>
              <w:rPr>
                <w:rFonts w:ascii="宋体" w:hAnsi="宋体" w:eastAsia="宋体"/>
                <w:sz w:val="16"/>
              </w:rPr>
              <w:t>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27DE8">
            <w:pPr>
              <w:jc w:val="center"/>
            </w:pPr>
            <w:r>
              <w:rPr>
                <w:rFonts w:ascii="宋体" w:hAnsi="宋体" w:eastAsia="宋体"/>
                <w:sz w:val="16"/>
              </w:rPr>
              <w:t>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AD8D0">
            <w:pPr>
              <w:jc w:val="center"/>
            </w:pPr>
            <w:r>
              <w:rPr>
                <w:rFonts w:ascii="宋体" w:hAnsi="宋体" w:eastAsia="宋体"/>
                <w:sz w:val="16"/>
              </w:rPr>
              <w:t>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F2E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6F76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DC87">
            <w:pPr>
              <w:jc w:val="center"/>
            </w:pPr>
            <w:r>
              <w:rPr>
                <w:rFonts w:ascii="宋体" w:hAnsi="宋体" w:eastAsia="宋体"/>
                <w:sz w:val="16"/>
              </w:rPr>
              <w:t>—</w:t>
            </w:r>
          </w:p>
        </w:tc>
      </w:tr>
      <w:tr w14:paraId="5F2FF8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576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5B6A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71B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84F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387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6FF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F94B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E163">
            <w:pPr>
              <w:jc w:val="center"/>
            </w:pPr>
            <w:r>
              <w:rPr>
                <w:rFonts w:ascii="宋体" w:hAnsi="宋体" w:eastAsia="宋体"/>
                <w:sz w:val="16"/>
              </w:rPr>
              <w:t>—</w:t>
            </w:r>
          </w:p>
        </w:tc>
      </w:tr>
      <w:tr w14:paraId="38112B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6CC6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E617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5735F5">
            <w:pPr>
              <w:jc w:val="center"/>
            </w:pPr>
            <w:r>
              <w:rPr>
                <w:rFonts w:ascii="宋体" w:hAnsi="宋体" w:eastAsia="宋体"/>
                <w:sz w:val="16"/>
              </w:rPr>
              <w:t>实际完成情况</w:t>
            </w:r>
          </w:p>
        </w:tc>
      </w:tr>
      <w:tr w14:paraId="3B2953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413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55E6EA">
            <w:pPr>
              <w:jc w:val="both"/>
            </w:pPr>
            <w:r>
              <w:rPr>
                <w:rFonts w:ascii="宋体" w:hAnsi="宋体" w:eastAsia="宋体"/>
                <w:sz w:val="16"/>
              </w:rPr>
              <w:t>开展农本实地调查次数1次，开展对农本调查人员的业务培训次数1次，市场价格监测品种数1类，开展监测实地调查次数2次，开展对价格监测人员的业务培训次数1次。通过农产品成本调查，为各级政府研究和制定农产品价格与流通政策提供决策依据，监测市场主要农产品价格走向和波动，为各级政府研究和制定政策提供决策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8B8FCC">
            <w:pPr>
              <w:jc w:val="both"/>
            </w:pPr>
            <w:r>
              <w:rPr>
                <w:rFonts w:ascii="宋体" w:hAnsi="宋体" w:eastAsia="宋体"/>
                <w:sz w:val="16"/>
              </w:rPr>
              <w:t>开展农本实地调查次数达到了1次，开展对农本调查人员的业务培训次数达到了1次，市场价格监测品种数为1类，开展监测实地调查次数达到了2次，开展对价格监测人员的业务培训次数达到了1次。项目预算执行率为100%。通过农产品成本调查，为各级政府研究和制定农产品价格与流通政策提供了有效决策依据，监测市场主要农产品价格走向和波动，为各级政府研究和制定政策提供了有效决策依据。项目人员满意度达到了100%。</w:t>
            </w:r>
          </w:p>
        </w:tc>
      </w:tr>
      <w:tr w14:paraId="00C2E8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B5E1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6B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94F2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DE9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2ABD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CF3E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59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E2B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6ACA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DB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3955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2CB3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11DA7">
            <w:pPr>
              <w:jc w:val="center"/>
            </w:pPr>
            <w:r>
              <w:rPr>
                <w:rFonts w:ascii="宋体" w:hAnsi="宋体" w:eastAsia="宋体"/>
                <w:sz w:val="16"/>
              </w:rPr>
              <w:t>偏差原因分析及改进措施</w:t>
            </w:r>
          </w:p>
        </w:tc>
      </w:tr>
      <w:tr w14:paraId="5BAF67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829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C74D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5DA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5864D">
            <w:pPr>
              <w:jc w:val="center"/>
            </w:pPr>
            <w:r>
              <w:rPr>
                <w:rFonts w:ascii="宋体" w:hAnsi="宋体" w:eastAsia="宋体"/>
                <w:sz w:val="16"/>
              </w:rPr>
              <w:t>开展农本实地调查次数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507D">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73D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471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441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054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2FD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9DC1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D85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00847">
            <w:pPr>
              <w:jc w:val="center"/>
            </w:pPr>
          </w:p>
        </w:tc>
      </w:tr>
      <w:tr w14:paraId="7C017F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4FC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361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C48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8418">
            <w:pPr>
              <w:jc w:val="center"/>
            </w:pPr>
            <w:r>
              <w:rPr>
                <w:rFonts w:ascii="宋体" w:hAnsi="宋体" w:eastAsia="宋体"/>
                <w:sz w:val="16"/>
              </w:rPr>
              <w:t>开展对农本调查人员的业务培训次数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12FA">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13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0E4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F3E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CBB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671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92DD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8E1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2374A">
            <w:pPr>
              <w:jc w:val="center"/>
            </w:pPr>
          </w:p>
        </w:tc>
      </w:tr>
      <w:tr w14:paraId="59F36F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FD6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BEC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F17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4675">
            <w:pPr>
              <w:jc w:val="center"/>
            </w:pPr>
            <w:r>
              <w:rPr>
                <w:rFonts w:ascii="宋体" w:hAnsi="宋体" w:eastAsia="宋体"/>
                <w:sz w:val="16"/>
              </w:rPr>
              <w:t>市场价格监测品种数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1A325">
            <w:pPr>
              <w:jc w:val="center"/>
            </w:pPr>
            <w:r>
              <w:rPr>
                <w:rFonts w:ascii="宋体" w:hAnsi="宋体" w:eastAsia="宋体"/>
                <w:sz w:val="16"/>
              </w:rPr>
              <w:t>&gt;=1种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D0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666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C79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0C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E8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6AE7">
            <w:pPr>
              <w:jc w:val="center"/>
            </w:pPr>
            <w:r>
              <w:rPr>
                <w:rFonts w:ascii="宋体" w:hAnsi="宋体" w:eastAsia="宋体"/>
                <w:sz w:val="16"/>
              </w:rPr>
              <w:t>=1种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C4DC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031BA">
            <w:pPr>
              <w:jc w:val="center"/>
            </w:pPr>
          </w:p>
        </w:tc>
      </w:tr>
      <w:tr w14:paraId="58D2FB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AFA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673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9F9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4002">
            <w:pPr>
              <w:jc w:val="center"/>
            </w:pPr>
            <w:r>
              <w:rPr>
                <w:rFonts w:ascii="宋体" w:hAnsi="宋体" w:eastAsia="宋体"/>
                <w:sz w:val="16"/>
              </w:rPr>
              <w:t>开展监测实地调查次数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97A7C">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18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AAF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446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FE2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59A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FCA2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46B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E836B">
            <w:pPr>
              <w:jc w:val="center"/>
            </w:pPr>
          </w:p>
        </w:tc>
      </w:tr>
      <w:tr w14:paraId="42F01C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B61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902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289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BCAE">
            <w:pPr>
              <w:jc w:val="center"/>
            </w:pPr>
            <w:r>
              <w:rPr>
                <w:rFonts w:ascii="宋体" w:hAnsi="宋体" w:eastAsia="宋体"/>
                <w:sz w:val="16"/>
              </w:rPr>
              <w:t>开展对价格监测人员的业务培训次数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39F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211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0C0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A65B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C3F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4E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95C4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734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1DB97">
            <w:pPr>
              <w:jc w:val="center"/>
            </w:pPr>
          </w:p>
        </w:tc>
      </w:tr>
      <w:tr w14:paraId="3BC1A0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37B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3C22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C311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2E47">
            <w:pPr>
              <w:jc w:val="center"/>
            </w:pPr>
            <w:r>
              <w:rPr>
                <w:rFonts w:ascii="宋体" w:hAnsi="宋体" w:eastAsia="宋体"/>
                <w:sz w:val="16"/>
              </w:rPr>
              <w:t>价格监测预警覆盖比率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F0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A1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FE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14C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035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2B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217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7D8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AFBB8">
            <w:pPr>
              <w:jc w:val="center"/>
            </w:pPr>
          </w:p>
        </w:tc>
      </w:tr>
      <w:tr w14:paraId="7A5BF1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16B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45A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37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251E3">
            <w:pPr>
              <w:jc w:val="center"/>
            </w:pPr>
            <w:r>
              <w:rPr>
                <w:rFonts w:ascii="宋体" w:hAnsi="宋体" w:eastAsia="宋体"/>
                <w:sz w:val="16"/>
              </w:rPr>
              <w:t>价格监测数据上报合格率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A20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94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F6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3021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EA3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940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4FC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5CC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11132">
            <w:pPr>
              <w:jc w:val="center"/>
            </w:pPr>
          </w:p>
        </w:tc>
      </w:tr>
      <w:tr w14:paraId="4CC7E4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5B9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A03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0C9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75D6A">
            <w:pPr>
              <w:jc w:val="center"/>
            </w:pPr>
            <w:r>
              <w:rPr>
                <w:rFonts w:ascii="宋体" w:hAnsi="宋体" w:eastAsia="宋体"/>
                <w:sz w:val="16"/>
              </w:rPr>
              <w:t>制定调查项目符合农产品调查目录规定的权限和范围比率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8E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B0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58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6F6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15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A06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DDA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3C1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84718">
            <w:pPr>
              <w:jc w:val="center"/>
            </w:pPr>
          </w:p>
        </w:tc>
      </w:tr>
      <w:tr w14:paraId="12F6C0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2EA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697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F7E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7614C">
            <w:pPr>
              <w:jc w:val="center"/>
            </w:pPr>
            <w:r>
              <w:rPr>
                <w:rFonts w:ascii="宋体" w:hAnsi="宋体" w:eastAsia="宋体"/>
                <w:sz w:val="16"/>
              </w:rPr>
              <w:t>按照要求上报成本数据及分析及时率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1B9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EE0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8A0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87DA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4D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89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2D2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9D5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2A215">
            <w:pPr>
              <w:jc w:val="center"/>
            </w:pPr>
          </w:p>
        </w:tc>
      </w:tr>
      <w:tr w14:paraId="2CA124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108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267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149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E68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9326F">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F0C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88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DBF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02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90E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BF857">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84E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DC378">
            <w:pPr>
              <w:jc w:val="center"/>
            </w:pPr>
          </w:p>
        </w:tc>
      </w:tr>
      <w:tr w14:paraId="0728D8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B85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73A31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1194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3530">
            <w:pPr>
              <w:jc w:val="center"/>
            </w:pPr>
            <w:r>
              <w:rPr>
                <w:rFonts w:ascii="宋体" w:hAnsi="宋体" w:eastAsia="宋体"/>
                <w:sz w:val="16"/>
              </w:rPr>
              <w:t>培训及实地调查成本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DDC7D">
            <w:pPr>
              <w:jc w:val="center"/>
            </w:pPr>
            <w:r>
              <w:rPr>
                <w:rFonts w:ascii="宋体" w:hAnsi="宋体" w:eastAsia="宋体"/>
                <w:sz w:val="16"/>
              </w:rPr>
              <w:t>&lt;=0.88万元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7E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4E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3C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8F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149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1635">
            <w:pPr>
              <w:jc w:val="center"/>
            </w:pPr>
            <w:r>
              <w:rPr>
                <w:rFonts w:ascii="宋体" w:hAnsi="宋体" w:eastAsia="宋体"/>
                <w:sz w:val="16"/>
              </w:rPr>
              <w:t>=0.88万元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69C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005E4">
            <w:pPr>
              <w:jc w:val="center"/>
            </w:pPr>
          </w:p>
        </w:tc>
      </w:tr>
      <w:tr w14:paraId="21CB03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031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DEA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B4A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D5A7">
            <w:pPr>
              <w:jc w:val="center"/>
            </w:pPr>
            <w:r>
              <w:rPr>
                <w:rFonts w:ascii="宋体" w:hAnsi="宋体" w:eastAsia="宋体"/>
                <w:sz w:val="16"/>
              </w:rPr>
              <w:t>收集、汇总监测数据成本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BF2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79E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05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C3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21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BAC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486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234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DEEAF">
            <w:pPr>
              <w:jc w:val="center"/>
            </w:pPr>
          </w:p>
        </w:tc>
      </w:tr>
      <w:tr w14:paraId="26996D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88D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C004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B1DF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5A1EC">
            <w:pPr>
              <w:jc w:val="center"/>
            </w:pPr>
            <w:r>
              <w:rPr>
                <w:rFonts w:ascii="宋体" w:hAnsi="宋体" w:eastAsia="宋体"/>
                <w:sz w:val="16"/>
              </w:rPr>
              <w:t>为各级政府研究和制定农产品价格与流通政策提供决策依据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9A5F7">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88A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3F7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CF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0C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28F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CD80">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96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7B777">
            <w:pPr>
              <w:jc w:val="center"/>
            </w:pPr>
          </w:p>
        </w:tc>
      </w:tr>
      <w:tr w14:paraId="473960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047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A98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FC8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8BBB4">
            <w:pPr>
              <w:jc w:val="center"/>
            </w:pPr>
            <w:r>
              <w:rPr>
                <w:rFonts w:ascii="宋体" w:hAnsi="宋体" w:eastAsia="宋体"/>
                <w:sz w:val="16"/>
              </w:rPr>
              <w:t>监测我区市场主要农产品价格走向和波动，为各级政府研究和制定政策提供决策依据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E5818">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D1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D2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456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3EA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509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119D">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29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599DB">
            <w:pPr>
              <w:jc w:val="center"/>
            </w:pPr>
          </w:p>
        </w:tc>
      </w:tr>
      <w:tr w14:paraId="0C4515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3CA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A590F">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6B3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C861">
            <w:pPr>
              <w:jc w:val="center"/>
            </w:pPr>
            <w:r>
              <w:rPr>
                <w:rFonts w:ascii="宋体" w:hAnsi="宋体" w:eastAsia="宋体"/>
                <w:sz w:val="16"/>
              </w:rPr>
              <w:t>农本调查人员满意度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D39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F5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DA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A7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5C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5D5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3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D21E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DD82C">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A97F3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2B1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EEF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493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21817">
            <w:pPr>
              <w:jc w:val="center"/>
            </w:pPr>
            <w:r>
              <w:rPr>
                <w:rFonts w:ascii="宋体" w:hAnsi="宋体" w:eastAsia="宋体"/>
                <w:sz w:val="16"/>
              </w:rPr>
              <w:t>价格监测定点单位人员满意度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3017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77D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C1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C4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4AB1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49B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B2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637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CB8FA">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04B45C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A54B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32FF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5FD4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5FC3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12B75CB"/>
        </w:tc>
      </w:tr>
    </w:tbl>
    <w:p w14:paraId="1887EF6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83F732A">
        <w:tblPrEx>
          <w:tblCellMar>
            <w:top w:w="0" w:type="dxa"/>
            <w:left w:w="108" w:type="dxa"/>
            <w:bottom w:w="0" w:type="dxa"/>
            <w:right w:w="108" w:type="dxa"/>
          </w:tblCellMar>
        </w:tblPrEx>
        <w:tc>
          <w:tcPr>
            <w:tcW w:w="8848" w:type="dxa"/>
            <w:gridSpan w:val="14"/>
            <w:vAlign w:val="center"/>
          </w:tcPr>
          <w:p w14:paraId="03C5DAEC">
            <w:pPr>
              <w:jc w:val="center"/>
            </w:pPr>
            <w:r>
              <w:rPr>
                <w:rFonts w:ascii="宋体" w:hAnsi="宋体" w:eastAsia="宋体"/>
                <w:sz w:val="24"/>
              </w:rPr>
              <w:t>项目支出绩效自评表</w:t>
            </w:r>
          </w:p>
        </w:tc>
      </w:tr>
      <w:tr w14:paraId="01387036">
        <w:tblPrEx>
          <w:tblCellMar>
            <w:top w:w="0" w:type="dxa"/>
            <w:left w:w="108" w:type="dxa"/>
            <w:bottom w:w="0" w:type="dxa"/>
            <w:right w:w="108" w:type="dxa"/>
          </w:tblCellMar>
        </w:tblPrEx>
        <w:tc>
          <w:tcPr>
            <w:tcW w:w="8848" w:type="dxa"/>
            <w:gridSpan w:val="14"/>
            <w:vAlign w:val="center"/>
          </w:tcPr>
          <w:p w14:paraId="689545A0">
            <w:pPr>
              <w:jc w:val="center"/>
            </w:pPr>
            <w:r>
              <w:rPr>
                <w:rFonts w:ascii="宋体" w:hAnsi="宋体" w:eastAsia="宋体"/>
                <w:sz w:val="24"/>
              </w:rPr>
              <w:t>(2024年度)</w:t>
            </w:r>
          </w:p>
        </w:tc>
      </w:tr>
      <w:tr w14:paraId="0A3EB7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FA30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630599">
            <w:pPr>
              <w:jc w:val="center"/>
            </w:pPr>
            <w:r>
              <w:rPr>
                <w:rFonts w:ascii="宋体" w:hAnsi="宋体" w:eastAsia="宋体"/>
                <w:sz w:val="16"/>
              </w:rPr>
              <w:t>岳普湖县干部人才合作和引导激励项目(项目管理咨询全过程服务项目)</w:t>
            </w:r>
          </w:p>
        </w:tc>
      </w:tr>
      <w:tr w14:paraId="507F55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38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06983A">
            <w:pPr>
              <w:jc w:val="center"/>
            </w:pPr>
            <w:r>
              <w:rPr>
                <w:rFonts w:ascii="宋体" w:hAnsi="宋体" w:eastAsia="宋体"/>
                <w:sz w:val="16"/>
              </w:rPr>
              <w:t>岳普湖县发展和改革委员会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DE07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CC7483">
            <w:pPr>
              <w:jc w:val="center"/>
            </w:pPr>
            <w:r>
              <w:rPr>
                <w:rFonts w:ascii="宋体" w:hAnsi="宋体" w:eastAsia="宋体"/>
                <w:sz w:val="16"/>
              </w:rPr>
              <w:t>岳普湖县发展和改革委员会</w:t>
            </w:r>
          </w:p>
        </w:tc>
      </w:tr>
      <w:tr w14:paraId="7D677F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C5DB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B92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440E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8931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2BBA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BF42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663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FC7A0">
            <w:pPr>
              <w:jc w:val="center"/>
            </w:pPr>
            <w:r>
              <w:rPr>
                <w:rFonts w:ascii="宋体" w:hAnsi="宋体" w:eastAsia="宋体"/>
                <w:sz w:val="16"/>
              </w:rPr>
              <w:t>得分</w:t>
            </w:r>
          </w:p>
        </w:tc>
      </w:tr>
      <w:tr w14:paraId="031AB4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02D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8FD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9919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12A4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E693D">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E7F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363DA">
            <w:pPr>
              <w:jc w:val="center"/>
            </w:pPr>
            <w:r>
              <w:rPr>
                <w:rFonts w:ascii="宋体" w:hAnsi="宋体" w:eastAsia="宋体"/>
                <w:sz w:val="16"/>
              </w:rPr>
              <w:t>30.00%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D542">
            <w:pPr>
              <w:jc w:val="center"/>
            </w:pPr>
            <w:r>
              <w:rPr>
                <w:rFonts w:ascii="宋体" w:hAnsi="宋体" w:eastAsia="宋体"/>
                <w:sz w:val="16"/>
              </w:rPr>
              <w:t>0.00分</w:t>
            </w:r>
          </w:p>
        </w:tc>
      </w:tr>
      <w:tr w14:paraId="17207F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63D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6A88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D02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77E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7DE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38B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C264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F36BF">
            <w:pPr>
              <w:jc w:val="center"/>
            </w:pPr>
            <w:r>
              <w:rPr>
                <w:rFonts w:ascii="宋体" w:hAnsi="宋体" w:eastAsia="宋体"/>
                <w:sz w:val="16"/>
              </w:rPr>
              <w:t>—</w:t>
            </w:r>
          </w:p>
        </w:tc>
      </w:tr>
      <w:tr w14:paraId="0F9456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732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36D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C05D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63EC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343E9">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DF9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E3D1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F3E2">
            <w:pPr>
              <w:jc w:val="center"/>
            </w:pPr>
            <w:r>
              <w:rPr>
                <w:rFonts w:ascii="宋体" w:hAnsi="宋体" w:eastAsia="宋体"/>
                <w:sz w:val="16"/>
              </w:rPr>
              <w:t>—</w:t>
            </w:r>
          </w:p>
        </w:tc>
      </w:tr>
      <w:tr w14:paraId="13CA6B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FA45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AB19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052AC9">
            <w:pPr>
              <w:jc w:val="center"/>
            </w:pPr>
            <w:r>
              <w:rPr>
                <w:rFonts w:ascii="宋体" w:hAnsi="宋体" w:eastAsia="宋体"/>
                <w:sz w:val="16"/>
              </w:rPr>
              <w:t>实际完成情况</w:t>
            </w:r>
          </w:p>
        </w:tc>
      </w:tr>
      <w:tr w14:paraId="486DF3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8472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80B38C">
            <w:pPr>
              <w:jc w:val="both"/>
            </w:pPr>
            <w:r>
              <w:rPr>
                <w:rFonts w:ascii="宋体" w:hAnsi="宋体" w:eastAsia="宋体"/>
                <w:sz w:val="16"/>
              </w:rPr>
              <w:t>聘请1个第三方机构对岳普湖县援疆资金项目提供项目财务收支审计及绩效管理等各项咨询管理服务。通过项目的实施规范援疆资金项目实施和管理过程，促进资源优化整合，提高工作效率。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0FA1CC">
            <w:pPr>
              <w:jc w:val="both"/>
            </w:pPr>
            <w:r>
              <w:rPr>
                <w:rFonts w:ascii="宋体" w:hAnsi="宋体" w:eastAsia="宋体"/>
                <w:sz w:val="16"/>
              </w:rPr>
              <w:t>已经聘请了1个第三方机构对岳普湖县援疆资金项目提供项目财务收支审计及绩效管理等各项咨询管理服务。项目预算执行率为30%。通过项目的实施不断规范了援疆资金项目实施和管理过程，促进了资源优化整合，提高了工作效率。县级发改部门人员对第三方机构的满意度达到了100%。</w:t>
            </w:r>
          </w:p>
        </w:tc>
      </w:tr>
      <w:tr w14:paraId="028DF6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D849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D0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E719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51EE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1EE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0DF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475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285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780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4FDD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8A8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CBA0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5E091">
            <w:pPr>
              <w:jc w:val="center"/>
            </w:pPr>
            <w:r>
              <w:rPr>
                <w:rFonts w:ascii="宋体" w:hAnsi="宋体" w:eastAsia="宋体"/>
                <w:sz w:val="16"/>
              </w:rPr>
              <w:t>偏差原因分析及改进措施</w:t>
            </w:r>
          </w:p>
        </w:tc>
      </w:tr>
      <w:tr w14:paraId="1BE0D0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28C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60E0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B9B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FE08">
            <w:pPr>
              <w:jc w:val="center"/>
            </w:pPr>
            <w:r>
              <w:rPr>
                <w:rFonts w:ascii="宋体" w:hAnsi="宋体" w:eastAsia="宋体"/>
                <w:sz w:val="16"/>
              </w:rPr>
              <w:t>聘请第三方机构数量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4D41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5C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FC0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82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6A2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790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CBE2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CE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A3E11">
            <w:pPr>
              <w:jc w:val="center"/>
            </w:pPr>
          </w:p>
        </w:tc>
      </w:tr>
      <w:tr w14:paraId="2C0DA4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BF7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13D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B206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FCCB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9F1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6B2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80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133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5C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749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4CD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1CF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1F63C">
            <w:pPr>
              <w:jc w:val="center"/>
            </w:pPr>
            <w:r>
              <w:rPr>
                <w:rFonts w:ascii="宋体" w:hAnsi="宋体" w:eastAsia="宋体"/>
                <w:sz w:val="16"/>
              </w:rPr>
              <w:t>未完成原因：服务合同于2024年10月20日签订，已经根据合同约定支付了第一期款项9万元。（合同总价款的30%）根据双方合同约定“第二期款项在六个月后支付合同金额的40%；第三期</w:t>
            </w:r>
            <w:r>
              <w:rPr>
                <w:rFonts w:hint="eastAsia" w:ascii="宋体" w:hAnsi="宋体"/>
                <w:sz w:val="16"/>
                <w:lang w:eastAsia="zh-CN"/>
              </w:rPr>
              <w:t>款</w:t>
            </w:r>
            <w:r>
              <w:rPr>
                <w:rFonts w:ascii="宋体" w:hAnsi="宋体" w:eastAsia="宋体"/>
                <w:sz w:val="16"/>
              </w:rPr>
              <w:t>在合同结束后支付合同金额的30%。”改进措施：做好项目的管理工作和资料审核工作，达到付款条件时严格按照合同约定进度支付项目款项。</w:t>
            </w:r>
          </w:p>
        </w:tc>
      </w:tr>
      <w:tr w14:paraId="7EAB3B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717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E43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41D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A461B">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0A1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C15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C1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A5F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7A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D50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C755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5D5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528A6">
            <w:pPr>
              <w:jc w:val="center"/>
            </w:pPr>
            <w:r>
              <w:rPr>
                <w:rFonts w:ascii="宋体" w:hAnsi="宋体" w:eastAsia="宋体"/>
                <w:sz w:val="16"/>
              </w:rPr>
              <w:t>未完成原因：服务合同于2024年10月20日签订，已经根据合同约定支付了第一期款项9万元。（合同总价款的30%）根据双方合同约定“第二期款项在六个月后支付合同金额的40%；第三期款项在合同结束后支付合同金额的30%。”改进措施：做好项目的管理工作和资料审核工作，达到付款条件时严格按照合同约定进度支付项目款项。</w:t>
            </w:r>
          </w:p>
        </w:tc>
      </w:tr>
      <w:tr w14:paraId="05C603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47C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717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B8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70152">
            <w:pPr>
              <w:jc w:val="center"/>
            </w:pPr>
            <w:r>
              <w:rPr>
                <w:rFonts w:ascii="宋体" w:hAnsi="宋体" w:eastAsia="宋体"/>
                <w:sz w:val="16"/>
              </w:rPr>
              <w:t>项目资金支付完成时间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61621">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6B1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D8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49B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4A4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13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140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2B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B4732">
            <w:pPr>
              <w:jc w:val="center"/>
            </w:pPr>
            <w:r>
              <w:rPr>
                <w:rFonts w:ascii="宋体" w:hAnsi="宋体" w:eastAsia="宋体"/>
                <w:sz w:val="16"/>
              </w:rPr>
              <w:t>未完成原因：服务合同于2024年10月20日签订，已经根据合同约定支付了第一期款项9万元。（合同总价款的30%）根据双方合同约定“第二期款项在六个月后支付合同金额的40%；第三期款项在合同结束后支付合同金额的30%。”改进措施：做好项目的管理工作和资料审核工作，达到付款条件时严格按照合同约定进度支付项目款项。</w:t>
            </w:r>
          </w:p>
        </w:tc>
      </w:tr>
      <w:tr w14:paraId="25D3E2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0E4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4126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E871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11295">
            <w:pPr>
              <w:jc w:val="center"/>
            </w:pPr>
            <w:r>
              <w:rPr>
                <w:rFonts w:ascii="宋体" w:hAnsi="宋体" w:eastAsia="宋体"/>
                <w:sz w:val="16"/>
              </w:rPr>
              <w:t>聘请第三方机构预算控制数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65B26">
            <w:pPr>
              <w:jc w:val="center"/>
            </w:pPr>
            <w:r>
              <w:rPr>
                <w:rFonts w:ascii="宋体" w:hAnsi="宋体" w:eastAsia="宋体"/>
                <w:sz w:val="16"/>
              </w:rPr>
              <w:t>&lt;=30万元/个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E1E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DF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5ED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1FA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3C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83F7C">
            <w:pPr>
              <w:jc w:val="center"/>
            </w:pPr>
            <w:r>
              <w:rPr>
                <w:rFonts w:ascii="宋体" w:hAnsi="宋体" w:eastAsia="宋体"/>
                <w:sz w:val="16"/>
              </w:rPr>
              <w:t>=9万元/个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B237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A29C9">
            <w:pPr>
              <w:jc w:val="center"/>
            </w:pPr>
            <w:r>
              <w:rPr>
                <w:rFonts w:ascii="宋体" w:hAnsi="宋体" w:eastAsia="宋体"/>
                <w:sz w:val="16"/>
              </w:rPr>
              <w:t>未完成原因：服务合同于2024年10月20日签订，已经根据合同约定支付了第一期款项9万元。（合同总价款的30%）根据双方合同约定“第二期款项在六个月后支付合同金额的40%；第三期款项在合同结束后支付合同金额的30%。”改进措施：做好项目的管理工作和资料审核工作，达到付款条件时严格按照合同约定进度支付项目款项。</w:t>
            </w:r>
          </w:p>
        </w:tc>
      </w:tr>
      <w:tr w14:paraId="469AE3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410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759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6FB5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F3C0">
            <w:pPr>
              <w:jc w:val="center"/>
            </w:pPr>
            <w:r>
              <w:rPr>
                <w:rFonts w:ascii="宋体" w:hAnsi="宋体" w:eastAsia="宋体"/>
                <w:sz w:val="16"/>
              </w:rPr>
              <w:t>规范援疆资金项目实施和管理过程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78614">
            <w:pPr>
              <w:jc w:val="center"/>
            </w:pPr>
            <w:r>
              <w:rPr>
                <w:rFonts w:ascii="宋体" w:hAnsi="宋体" w:eastAsia="宋体"/>
                <w:sz w:val="16"/>
              </w:rPr>
              <w:t>不断规范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FD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A62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F3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F2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BBD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145E">
            <w:pPr>
              <w:jc w:val="center"/>
            </w:pPr>
            <w:r>
              <w:rPr>
                <w:rFonts w:ascii="宋体" w:hAnsi="宋体" w:eastAsia="宋体"/>
                <w:sz w:val="16"/>
              </w:rPr>
              <w:t>不断规范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BD45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CEE19">
            <w:pPr>
              <w:jc w:val="center"/>
            </w:pPr>
          </w:p>
        </w:tc>
      </w:tr>
      <w:tr w14:paraId="58DD40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573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D4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17F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87A6">
            <w:pPr>
              <w:jc w:val="center"/>
            </w:pPr>
            <w:r>
              <w:rPr>
                <w:rFonts w:ascii="宋体" w:hAnsi="宋体" w:eastAsia="宋体"/>
                <w:sz w:val="16"/>
              </w:rPr>
              <w:t>县级发改部门人员对第三方机构的满意度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3F7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1D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53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784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5F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4D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DF0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A8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E872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C1F275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86377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EEBA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27E8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58A67">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D0A3E47"/>
        </w:tc>
      </w:tr>
    </w:tbl>
    <w:p w14:paraId="34047A69">
      <w:r>
        <w:br w:type="page"/>
      </w:r>
    </w:p>
    <w:tbl>
      <w:tblPr>
        <w:tblStyle w:val="9"/>
        <w:tblW w:w="0" w:type="auto"/>
        <w:tblInd w:w="0" w:type="dxa"/>
        <w:tblLayout w:type="autofit"/>
        <w:tblCellMar>
          <w:top w:w="0" w:type="dxa"/>
          <w:left w:w="108" w:type="dxa"/>
          <w:bottom w:w="0" w:type="dxa"/>
          <w:right w:w="108" w:type="dxa"/>
        </w:tblCellMar>
      </w:tblPr>
      <w:tblGrid>
        <w:gridCol w:w="605"/>
        <w:gridCol w:w="562"/>
        <w:gridCol w:w="562"/>
        <w:gridCol w:w="562"/>
        <w:gridCol w:w="1096"/>
        <w:gridCol w:w="562"/>
        <w:gridCol w:w="628"/>
        <w:gridCol w:w="584"/>
        <w:gridCol w:w="562"/>
        <w:gridCol w:w="562"/>
        <w:gridCol w:w="1016"/>
        <w:gridCol w:w="632"/>
        <w:gridCol w:w="499"/>
        <w:gridCol w:w="628"/>
      </w:tblGrid>
      <w:tr w14:paraId="1C6A44B2">
        <w:tblPrEx>
          <w:tblCellMar>
            <w:top w:w="0" w:type="dxa"/>
            <w:left w:w="108" w:type="dxa"/>
            <w:bottom w:w="0" w:type="dxa"/>
            <w:right w:w="108" w:type="dxa"/>
          </w:tblCellMar>
        </w:tblPrEx>
        <w:tc>
          <w:tcPr>
            <w:tcW w:w="8848" w:type="dxa"/>
            <w:gridSpan w:val="14"/>
            <w:vAlign w:val="center"/>
          </w:tcPr>
          <w:p w14:paraId="5C33F4F9">
            <w:pPr>
              <w:jc w:val="center"/>
            </w:pPr>
            <w:r>
              <w:rPr>
                <w:rFonts w:ascii="宋体" w:hAnsi="宋体" w:eastAsia="宋体"/>
                <w:sz w:val="24"/>
              </w:rPr>
              <w:t>项目支出绩效自评表</w:t>
            </w:r>
          </w:p>
        </w:tc>
      </w:tr>
      <w:tr w14:paraId="4F8E8154">
        <w:tblPrEx>
          <w:tblCellMar>
            <w:top w:w="0" w:type="dxa"/>
            <w:left w:w="108" w:type="dxa"/>
            <w:bottom w:w="0" w:type="dxa"/>
            <w:right w:w="108" w:type="dxa"/>
          </w:tblCellMar>
        </w:tblPrEx>
        <w:tc>
          <w:tcPr>
            <w:tcW w:w="8848" w:type="dxa"/>
            <w:gridSpan w:val="14"/>
            <w:vAlign w:val="center"/>
          </w:tcPr>
          <w:p w14:paraId="60520631">
            <w:pPr>
              <w:jc w:val="center"/>
            </w:pPr>
            <w:r>
              <w:rPr>
                <w:rFonts w:ascii="宋体" w:hAnsi="宋体" w:eastAsia="宋体"/>
                <w:sz w:val="24"/>
              </w:rPr>
              <w:t>(2024年度)</w:t>
            </w:r>
          </w:p>
        </w:tc>
      </w:tr>
      <w:tr w14:paraId="7351CF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453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DC8DD5">
            <w:pPr>
              <w:jc w:val="center"/>
            </w:pPr>
            <w:r>
              <w:rPr>
                <w:rFonts w:ascii="宋体" w:hAnsi="宋体" w:eastAsia="宋体"/>
                <w:sz w:val="16"/>
              </w:rPr>
              <w:t>政策性储备原粮及成品粮油承储项目</w:t>
            </w:r>
          </w:p>
        </w:tc>
      </w:tr>
      <w:tr w14:paraId="585329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4EF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19EE52">
            <w:pPr>
              <w:jc w:val="center"/>
            </w:pPr>
            <w:r>
              <w:rPr>
                <w:rFonts w:ascii="宋体" w:hAnsi="宋体" w:eastAsia="宋体"/>
                <w:sz w:val="16"/>
              </w:rPr>
              <w:t>岳普湖县发展和改革委员会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D30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2B1200">
            <w:pPr>
              <w:jc w:val="center"/>
            </w:pPr>
            <w:r>
              <w:rPr>
                <w:rFonts w:ascii="宋体" w:hAnsi="宋体" w:eastAsia="宋体"/>
                <w:sz w:val="16"/>
              </w:rPr>
              <w:t>岳普湖县发展和改革委员会</w:t>
            </w:r>
          </w:p>
        </w:tc>
      </w:tr>
      <w:tr w14:paraId="5BDC4E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251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860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E297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A0C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7B18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1BD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0452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6A92E">
            <w:pPr>
              <w:jc w:val="center"/>
            </w:pPr>
            <w:r>
              <w:rPr>
                <w:rFonts w:ascii="宋体" w:hAnsi="宋体" w:eastAsia="宋体"/>
                <w:sz w:val="16"/>
              </w:rPr>
              <w:t>得分</w:t>
            </w:r>
          </w:p>
        </w:tc>
      </w:tr>
      <w:tr w14:paraId="12CA94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2FB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90EA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E1EFD">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4FE24">
            <w:pPr>
              <w:jc w:val="center"/>
            </w:pPr>
            <w:r>
              <w:rPr>
                <w:rFonts w:ascii="宋体" w:hAnsi="宋体" w:eastAsia="宋体"/>
                <w:sz w:val="16"/>
              </w:rPr>
              <w:t>53.79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2FBDC">
            <w:pPr>
              <w:jc w:val="center"/>
            </w:pPr>
            <w:r>
              <w:rPr>
                <w:rFonts w:ascii="宋体" w:hAnsi="宋体" w:eastAsia="宋体"/>
                <w:sz w:val="16"/>
              </w:rPr>
              <w:t>53.79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E39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6A4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4769">
            <w:pPr>
              <w:jc w:val="center"/>
            </w:pPr>
            <w:r>
              <w:rPr>
                <w:rFonts w:ascii="宋体" w:hAnsi="宋体" w:eastAsia="宋体"/>
                <w:sz w:val="16"/>
              </w:rPr>
              <w:t>10.00分</w:t>
            </w:r>
          </w:p>
        </w:tc>
      </w:tr>
      <w:tr w14:paraId="1BB5E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075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E98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3DCDF">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91847">
            <w:pPr>
              <w:jc w:val="center"/>
            </w:pPr>
            <w:r>
              <w:rPr>
                <w:rFonts w:ascii="宋体" w:hAnsi="宋体" w:eastAsia="宋体"/>
                <w:sz w:val="16"/>
              </w:rPr>
              <w:t>53.79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30DA3">
            <w:pPr>
              <w:jc w:val="center"/>
            </w:pPr>
            <w:r>
              <w:rPr>
                <w:rFonts w:ascii="宋体" w:hAnsi="宋体" w:eastAsia="宋体"/>
                <w:sz w:val="16"/>
              </w:rPr>
              <w:t>53.79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09B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A24B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C435">
            <w:pPr>
              <w:jc w:val="center"/>
            </w:pPr>
            <w:r>
              <w:rPr>
                <w:rFonts w:ascii="宋体" w:hAnsi="宋体" w:eastAsia="宋体"/>
                <w:sz w:val="16"/>
              </w:rPr>
              <w:t>—</w:t>
            </w:r>
          </w:p>
        </w:tc>
      </w:tr>
      <w:tr w14:paraId="015446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C70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193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298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96E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FF5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47A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3473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F900">
            <w:pPr>
              <w:jc w:val="center"/>
            </w:pPr>
            <w:r>
              <w:rPr>
                <w:rFonts w:ascii="宋体" w:hAnsi="宋体" w:eastAsia="宋体"/>
                <w:sz w:val="16"/>
              </w:rPr>
              <w:t>—</w:t>
            </w:r>
          </w:p>
        </w:tc>
      </w:tr>
      <w:tr w14:paraId="136D35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57B1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BD514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32F41E">
            <w:pPr>
              <w:jc w:val="center"/>
            </w:pPr>
            <w:r>
              <w:rPr>
                <w:rFonts w:ascii="宋体" w:hAnsi="宋体" w:eastAsia="宋体"/>
                <w:sz w:val="16"/>
              </w:rPr>
              <w:t>实际完成情况</w:t>
            </w:r>
          </w:p>
        </w:tc>
      </w:tr>
      <w:tr w14:paraId="7C5A12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624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507CF4">
            <w:pPr>
              <w:jc w:val="both"/>
            </w:pPr>
            <w:r>
              <w:rPr>
                <w:rFonts w:ascii="宋体" w:hAnsi="宋体" w:eastAsia="宋体"/>
                <w:sz w:val="16"/>
              </w:rPr>
              <w:t>向喀什金裕丰经贸有限责任公司、新疆鑫丰粮油有限责任公司、喀什晨光植物蛋白有限公司、岳普湖县食为天油脂有限公司和岳普湖县悦好餐饮服务有限责任公司共5家企业支付政策性储备原粮及成品粮油承储费用，主要包括储备储贷利息费用补贴、保管费、检测费等费用。通过项目的实施缓解企业承储压力，提高企业对政策性储备原粮及成品粮油承储的积极性。保证紧急状态应急粮油充足，确保应急粮油储备工作高质量推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BDCF08">
            <w:pPr>
              <w:jc w:val="both"/>
            </w:pPr>
            <w:r>
              <w:rPr>
                <w:rFonts w:ascii="宋体" w:hAnsi="宋体" w:eastAsia="宋体"/>
                <w:sz w:val="16"/>
              </w:rPr>
              <w:t>已经向喀什金裕丰经贸有限责任公司、新疆鑫丰粮油有限责任公司、喀什晨光植物蛋白有限公司、岳普湖县食为天油脂有限公司和岳普湖县悦好餐饮服务有限责任公司共5家企业支付</w:t>
            </w:r>
            <w:bookmarkStart w:id="0" w:name="_GoBack"/>
            <w:bookmarkEnd w:id="0"/>
            <w:r>
              <w:rPr>
                <w:rFonts w:ascii="宋体" w:hAnsi="宋体" w:eastAsia="宋体"/>
                <w:sz w:val="16"/>
              </w:rPr>
              <w:t>了政策性储备原粮及成品粮油承储费用，主要包括储备</w:t>
            </w:r>
            <w:r>
              <w:rPr>
                <w:rFonts w:hint="eastAsia" w:ascii="宋体" w:hAnsi="宋体"/>
                <w:sz w:val="16"/>
                <w:lang w:eastAsia="zh-CN"/>
              </w:rPr>
              <w:t>粮</w:t>
            </w:r>
            <w:r>
              <w:rPr>
                <w:rFonts w:ascii="宋体" w:hAnsi="宋体" w:eastAsia="宋体"/>
                <w:sz w:val="16"/>
              </w:rPr>
              <w:t>利息费用补贴、保管费、检测费等费用。项目预算执行率为100%。通过项目的实施有效缓解了企业承储压力，进一步提高了企业对政策性储备原粮及成品粮油承储的积极性。保证了紧急状态应急粮油充足，确保了应急粮油储备工作高质量推进。享受承储费用补贴企业人员满意度达到了100%。</w:t>
            </w:r>
          </w:p>
        </w:tc>
      </w:tr>
      <w:tr w14:paraId="6D7377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5C7E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A70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D9ED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D33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04D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7EB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F783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FF4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753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103D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9CC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CD18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DB78C">
            <w:pPr>
              <w:jc w:val="center"/>
            </w:pPr>
            <w:r>
              <w:rPr>
                <w:rFonts w:ascii="宋体" w:hAnsi="宋体" w:eastAsia="宋体"/>
                <w:sz w:val="16"/>
              </w:rPr>
              <w:t>偏差原因分析及改进措施</w:t>
            </w:r>
          </w:p>
        </w:tc>
      </w:tr>
      <w:tr w14:paraId="2FDE15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D6F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89C2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C55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3C85">
            <w:pPr>
              <w:jc w:val="center"/>
            </w:pPr>
            <w:r>
              <w:rPr>
                <w:rFonts w:ascii="宋体" w:hAnsi="宋体" w:eastAsia="宋体"/>
                <w:sz w:val="16"/>
              </w:rPr>
              <w:t>承储费用补贴单位数量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2B72">
            <w:pPr>
              <w:jc w:val="center"/>
            </w:pPr>
            <w:r>
              <w:rPr>
                <w:rFonts w:ascii="宋体" w:hAnsi="宋体" w:eastAsia="宋体"/>
                <w:sz w:val="16"/>
              </w:rPr>
              <w:t>&gt;=5家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09A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C686">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57B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CF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7C4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70B15">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586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5C72A">
            <w:pPr>
              <w:jc w:val="center"/>
            </w:pPr>
          </w:p>
        </w:tc>
      </w:tr>
      <w:tr w14:paraId="5D6B87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DBE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B13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3FD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C8237">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F5D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8FB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96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0B0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A14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A3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E1C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702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3303C">
            <w:pPr>
              <w:jc w:val="center"/>
            </w:pPr>
          </w:p>
        </w:tc>
      </w:tr>
      <w:tr w14:paraId="7D216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54C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922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593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C9F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517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890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F5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01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FAF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88E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19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6B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9DBA3">
            <w:pPr>
              <w:jc w:val="center"/>
            </w:pPr>
          </w:p>
        </w:tc>
      </w:tr>
      <w:tr w14:paraId="42D435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577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2B9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E04E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85615">
            <w:pPr>
              <w:jc w:val="center"/>
            </w:pPr>
            <w:r>
              <w:rPr>
                <w:rFonts w:ascii="宋体" w:hAnsi="宋体" w:eastAsia="宋体"/>
                <w:sz w:val="16"/>
              </w:rPr>
              <w:t>承储费用补贴资金支付完成时间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6B91">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88C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FF878">
            <w:pPr>
              <w:jc w:val="center"/>
            </w:pPr>
            <w:r>
              <w:rPr>
                <w:rFonts w:ascii="宋体" w:hAnsi="宋体" w:eastAsia="宋体"/>
                <w:sz w:val="16"/>
              </w:rPr>
              <w:t>2023年11月10日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CA1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8E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04A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2CE8">
            <w:pPr>
              <w:jc w:val="center"/>
            </w:pPr>
            <w:r>
              <w:rPr>
                <w:rFonts w:ascii="宋体" w:hAnsi="宋体" w:eastAsia="宋体"/>
                <w:sz w:val="16"/>
              </w:rPr>
              <w:t>=2024年11月28日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06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159D1">
            <w:pPr>
              <w:jc w:val="center"/>
            </w:pPr>
          </w:p>
        </w:tc>
      </w:tr>
      <w:tr w14:paraId="7A8F6D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6A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8343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DA7E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14BE4">
            <w:pPr>
              <w:jc w:val="center"/>
            </w:pPr>
            <w:r>
              <w:rPr>
                <w:rFonts w:ascii="宋体" w:hAnsi="宋体" w:eastAsia="宋体"/>
                <w:sz w:val="16"/>
              </w:rPr>
              <w:t>承储费用补贴平均预算控制数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69C5">
            <w:pPr>
              <w:jc w:val="center"/>
            </w:pPr>
            <w:r>
              <w:rPr>
                <w:rFonts w:ascii="宋体" w:hAnsi="宋体" w:eastAsia="宋体"/>
                <w:sz w:val="16"/>
              </w:rPr>
              <w:t>&lt;=107586.87元/家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7F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BBBE">
            <w:pPr>
              <w:jc w:val="center"/>
            </w:pPr>
            <w:r>
              <w:rPr>
                <w:rFonts w:ascii="宋体" w:hAnsi="宋体" w:eastAsia="宋体"/>
                <w:sz w:val="16"/>
              </w:rPr>
              <w:t>16.48万元/家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052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78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027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1674">
            <w:pPr>
              <w:jc w:val="center"/>
            </w:pPr>
            <w:r>
              <w:rPr>
                <w:rFonts w:ascii="宋体" w:hAnsi="宋体" w:eastAsia="宋体"/>
                <w:sz w:val="16"/>
              </w:rPr>
              <w:t>=107586.87元/家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D85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A0365">
            <w:pPr>
              <w:jc w:val="center"/>
            </w:pPr>
          </w:p>
        </w:tc>
      </w:tr>
      <w:tr w14:paraId="01F57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EBA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E89C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BB93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8B0E">
            <w:pPr>
              <w:jc w:val="center"/>
            </w:pPr>
            <w:r>
              <w:rPr>
                <w:rFonts w:ascii="宋体" w:hAnsi="宋体" w:eastAsia="宋体"/>
                <w:sz w:val="16"/>
              </w:rPr>
              <w:t>缓解企业承储压力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C2BB">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1F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D8387">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DC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0D6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3C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3CA7">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AAB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329A0">
            <w:pPr>
              <w:jc w:val="center"/>
            </w:pPr>
          </w:p>
        </w:tc>
      </w:tr>
      <w:tr w14:paraId="18905D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96B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8A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4E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D8E54">
            <w:pPr>
              <w:jc w:val="center"/>
            </w:pPr>
            <w:r>
              <w:rPr>
                <w:rFonts w:ascii="宋体" w:hAnsi="宋体" w:eastAsia="宋体"/>
                <w:sz w:val="16"/>
              </w:rPr>
              <w:t>享受承储费用补贴企业人员满意度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687E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213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AF8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2B9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23B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C06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2C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93B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0DB3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E73A91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DF316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B13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B836D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DF90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E7A2DA"/>
        </w:tc>
      </w:tr>
    </w:tbl>
    <w:p w14:paraId="3F4F9DE2">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4"/>
        <w:gridCol w:w="627"/>
        <w:gridCol w:w="624"/>
        <w:gridCol w:w="624"/>
        <w:gridCol w:w="776"/>
        <w:gridCol w:w="632"/>
        <w:gridCol w:w="619"/>
        <w:gridCol w:w="633"/>
      </w:tblGrid>
      <w:tr w14:paraId="7648043B">
        <w:tblPrEx>
          <w:tblCellMar>
            <w:top w:w="0" w:type="dxa"/>
            <w:left w:w="108" w:type="dxa"/>
            <w:bottom w:w="0" w:type="dxa"/>
            <w:right w:w="108" w:type="dxa"/>
          </w:tblCellMar>
        </w:tblPrEx>
        <w:tc>
          <w:tcPr>
            <w:tcW w:w="8848" w:type="dxa"/>
            <w:gridSpan w:val="14"/>
            <w:vAlign w:val="center"/>
          </w:tcPr>
          <w:p w14:paraId="3415B063">
            <w:pPr>
              <w:jc w:val="center"/>
            </w:pPr>
            <w:r>
              <w:rPr>
                <w:rFonts w:ascii="宋体" w:hAnsi="宋体" w:eastAsia="宋体"/>
                <w:sz w:val="24"/>
              </w:rPr>
              <w:t>项目支出绩效自评表</w:t>
            </w:r>
          </w:p>
        </w:tc>
      </w:tr>
      <w:tr w14:paraId="174E756C">
        <w:tblPrEx>
          <w:tblCellMar>
            <w:top w:w="0" w:type="dxa"/>
            <w:left w:w="108" w:type="dxa"/>
            <w:bottom w:w="0" w:type="dxa"/>
            <w:right w:w="108" w:type="dxa"/>
          </w:tblCellMar>
        </w:tblPrEx>
        <w:tc>
          <w:tcPr>
            <w:tcW w:w="8848" w:type="dxa"/>
            <w:gridSpan w:val="14"/>
            <w:vAlign w:val="center"/>
          </w:tcPr>
          <w:p w14:paraId="32D3972B">
            <w:pPr>
              <w:jc w:val="center"/>
            </w:pPr>
            <w:r>
              <w:rPr>
                <w:rFonts w:ascii="宋体" w:hAnsi="宋体" w:eastAsia="宋体"/>
                <w:sz w:val="24"/>
              </w:rPr>
              <w:t>(2024年度)</w:t>
            </w:r>
          </w:p>
        </w:tc>
      </w:tr>
      <w:tr w14:paraId="33CE55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44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FFD8EE">
            <w:pPr>
              <w:jc w:val="center"/>
            </w:pPr>
            <w:r>
              <w:rPr>
                <w:rFonts w:ascii="宋体" w:hAnsi="宋体" w:eastAsia="宋体"/>
                <w:sz w:val="16"/>
              </w:rPr>
              <w:t>清偿尾款项目</w:t>
            </w:r>
          </w:p>
        </w:tc>
      </w:tr>
      <w:tr w14:paraId="212CF6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7E99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6A8920">
            <w:pPr>
              <w:jc w:val="center"/>
            </w:pPr>
            <w:r>
              <w:rPr>
                <w:rFonts w:ascii="宋体" w:hAnsi="宋体" w:eastAsia="宋体"/>
                <w:sz w:val="16"/>
              </w:rPr>
              <w:t>岳普湖县发展和改革委员会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F151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DC73F1">
            <w:pPr>
              <w:jc w:val="center"/>
            </w:pPr>
            <w:r>
              <w:rPr>
                <w:rFonts w:ascii="宋体" w:hAnsi="宋体" w:eastAsia="宋体"/>
                <w:sz w:val="16"/>
              </w:rPr>
              <w:t>岳普湖县发展和改革委员会</w:t>
            </w:r>
          </w:p>
        </w:tc>
      </w:tr>
      <w:tr w14:paraId="026602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9C3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1BF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407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4D09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0058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661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D09F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CB2C">
            <w:pPr>
              <w:jc w:val="center"/>
            </w:pPr>
            <w:r>
              <w:rPr>
                <w:rFonts w:ascii="宋体" w:hAnsi="宋体" w:eastAsia="宋体"/>
                <w:sz w:val="16"/>
              </w:rPr>
              <w:t>得分</w:t>
            </w:r>
          </w:p>
        </w:tc>
      </w:tr>
      <w:tr w14:paraId="1F399E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8CB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381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86618">
            <w:pPr>
              <w:jc w:val="center"/>
            </w:pPr>
            <w:r>
              <w:rPr>
                <w:rFonts w:ascii="宋体" w:hAnsi="宋体" w:eastAsia="宋体"/>
                <w:sz w:val="16"/>
              </w:rPr>
              <w:t>52.96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56081">
            <w:pPr>
              <w:jc w:val="center"/>
            </w:pPr>
            <w:r>
              <w:rPr>
                <w:rFonts w:ascii="宋体" w:hAnsi="宋体" w:eastAsia="宋体"/>
                <w:sz w:val="16"/>
              </w:rPr>
              <w:t>52.96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5F1A7">
            <w:pPr>
              <w:jc w:val="center"/>
            </w:pPr>
            <w:r>
              <w:rPr>
                <w:rFonts w:ascii="宋体" w:hAnsi="宋体" w:eastAsia="宋体"/>
                <w:sz w:val="16"/>
              </w:rPr>
              <w:t>47.89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EA9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D556B">
            <w:pPr>
              <w:jc w:val="center"/>
            </w:pPr>
            <w:r>
              <w:rPr>
                <w:rFonts w:ascii="宋体" w:hAnsi="宋体" w:eastAsia="宋体"/>
                <w:sz w:val="16"/>
              </w:rPr>
              <w:t>90.43%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9EE7">
            <w:pPr>
              <w:jc w:val="center"/>
            </w:pPr>
            <w:r>
              <w:rPr>
                <w:rFonts w:ascii="宋体" w:hAnsi="宋体" w:eastAsia="宋体"/>
                <w:sz w:val="16"/>
              </w:rPr>
              <w:t>7.61分</w:t>
            </w:r>
          </w:p>
        </w:tc>
      </w:tr>
      <w:tr w14:paraId="192265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18F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4B34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7B2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49E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D47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105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2AF5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A29E">
            <w:pPr>
              <w:jc w:val="center"/>
            </w:pPr>
            <w:r>
              <w:rPr>
                <w:rFonts w:ascii="宋体" w:hAnsi="宋体" w:eastAsia="宋体"/>
                <w:sz w:val="16"/>
              </w:rPr>
              <w:t>—</w:t>
            </w:r>
          </w:p>
        </w:tc>
      </w:tr>
      <w:tr w14:paraId="460419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0D6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E85F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D9BD3">
            <w:pPr>
              <w:jc w:val="center"/>
            </w:pPr>
            <w:r>
              <w:rPr>
                <w:rFonts w:ascii="宋体" w:hAnsi="宋体" w:eastAsia="宋体"/>
                <w:sz w:val="16"/>
              </w:rPr>
              <w:t>52.96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0AEAC">
            <w:pPr>
              <w:jc w:val="center"/>
            </w:pPr>
            <w:r>
              <w:rPr>
                <w:rFonts w:ascii="宋体" w:hAnsi="宋体" w:eastAsia="宋体"/>
                <w:sz w:val="16"/>
              </w:rPr>
              <w:t>52.96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0C976">
            <w:pPr>
              <w:jc w:val="center"/>
            </w:pPr>
            <w:r>
              <w:rPr>
                <w:rFonts w:ascii="宋体" w:hAnsi="宋体" w:eastAsia="宋体"/>
                <w:sz w:val="16"/>
              </w:rPr>
              <w:t>47.89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FD4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2103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952E2">
            <w:pPr>
              <w:jc w:val="center"/>
            </w:pPr>
            <w:r>
              <w:rPr>
                <w:rFonts w:ascii="宋体" w:hAnsi="宋体" w:eastAsia="宋体"/>
                <w:sz w:val="16"/>
              </w:rPr>
              <w:t>—</w:t>
            </w:r>
          </w:p>
        </w:tc>
      </w:tr>
      <w:tr w14:paraId="629EF5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B861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0B75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988D5A">
            <w:pPr>
              <w:jc w:val="center"/>
            </w:pPr>
            <w:r>
              <w:rPr>
                <w:rFonts w:ascii="宋体" w:hAnsi="宋体" w:eastAsia="宋体"/>
                <w:sz w:val="16"/>
              </w:rPr>
              <w:t>实际完成情况</w:t>
            </w:r>
          </w:p>
        </w:tc>
      </w:tr>
      <w:tr w14:paraId="3448A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668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AE93E1">
            <w:pPr>
              <w:jc w:val="both"/>
            </w:pPr>
            <w:r>
              <w:rPr>
                <w:rFonts w:ascii="宋体" w:hAnsi="宋体" w:eastAsia="宋体"/>
                <w:sz w:val="16"/>
              </w:rPr>
              <w:t>项目资金主要用于清偿“2023年岳普湖县平安岳普湖建设及应急能力保障提升项目”共计1个项目的尾款。确保项目尾款按期及时支付，提高政府部门的履约和服务能力，增强政府公信力。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430E57">
            <w:pPr>
              <w:jc w:val="both"/>
            </w:pPr>
            <w:r>
              <w:rPr>
                <w:rFonts w:ascii="宋体" w:hAnsi="宋体" w:eastAsia="宋体"/>
                <w:sz w:val="16"/>
              </w:rPr>
              <w:t>项目资金主要保障“2023年岳普湖县平安岳普湖建设及应急能力保障提升项目”尾款及时支付。项目预算执行率为90.43%。项目剩余监理费、检测费，等到相关工作开展完才能支付。通过项目的实施有效提高了政府部门的履约和服务能力。</w:t>
            </w:r>
          </w:p>
        </w:tc>
      </w:tr>
      <w:tr w14:paraId="027398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3200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3D9C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8C41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90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AA06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FC6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17A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B74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28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169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05BF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36E2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9AB33">
            <w:pPr>
              <w:jc w:val="center"/>
            </w:pPr>
            <w:r>
              <w:rPr>
                <w:rFonts w:ascii="宋体" w:hAnsi="宋体" w:eastAsia="宋体"/>
                <w:sz w:val="16"/>
              </w:rPr>
              <w:t>偏差原因分析及改进措施</w:t>
            </w:r>
          </w:p>
        </w:tc>
      </w:tr>
      <w:tr w14:paraId="33322C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5D4A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2FA2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2C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B8BB">
            <w:pPr>
              <w:jc w:val="center"/>
            </w:pPr>
            <w:r>
              <w:rPr>
                <w:rFonts w:ascii="宋体" w:hAnsi="宋体" w:eastAsia="宋体"/>
                <w:sz w:val="16"/>
              </w:rPr>
              <w:t>清偿尾款项目数量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5D62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8EC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C1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3F0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140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9C6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C6C0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94BB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CEC82">
            <w:pPr>
              <w:jc w:val="center"/>
            </w:pPr>
          </w:p>
        </w:tc>
      </w:tr>
      <w:tr w14:paraId="27605B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D4B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399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40A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1482E">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74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40F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BB3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FE0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22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03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60C6">
            <w:pPr>
              <w:jc w:val="center"/>
            </w:pPr>
            <w:r>
              <w:rPr>
                <w:rFonts w:ascii="宋体" w:hAnsi="宋体" w:eastAsia="宋体"/>
                <w:sz w:val="16"/>
              </w:rPr>
              <w:t>=90.43%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4C4A5">
            <w:pPr>
              <w:jc w:val="center"/>
            </w:pPr>
            <w:r>
              <w:rPr>
                <w:rFonts w:ascii="宋体" w:hAnsi="宋体" w:eastAsia="宋体"/>
                <w:sz w:val="16"/>
              </w:rPr>
              <w:t>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33D2E">
            <w:pPr>
              <w:jc w:val="center"/>
            </w:pPr>
            <w:r>
              <w:rPr>
                <w:rFonts w:ascii="宋体" w:hAnsi="宋体" w:eastAsia="宋体"/>
                <w:sz w:val="16"/>
              </w:rPr>
              <w:t>未完成原因：截至2024年12月31日，项目资金已经支付47.89万元，2024年预算执行率为90.43%。项目剩余监理费、检测费，等到相关工作开展完才能支付，系统指标完成率按照序时进度计算，造成指标完成出现负偏差。改进措施：做好项目管理工作，资金达到支付条件时及时支付项目剩余资金。</w:t>
            </w:r>
          </w:p>
        </w:tc>
      </w:tr>
      <w:tr w14:paraId="0C929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10C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8D9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CA3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C45D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99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97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B5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049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E60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A0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4DD2">
            <w:pPr>
              <w:jc w:val="center"/>
            </w:pPr>
            <w:r>
              <w:rPr>
                <w:rFonts w:ascii="宋体" w:hAnsi="宋体" w:eastAsia="宋体"/>
                <w:sz w:val="16"/>
              </w:rPr>
              <w:t>=90.43%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E9F89">
            <w:pPr>
              <w:jc w:val="center"/>
            </w:pPr>
            <w:r>
              <w:rPr>
                <w:rFonts w:ascii="宋体" w:hAnsi="宋体" w:eastAsia="宋体"/>
                <w:sz w:val="16"/>
              </w:rPr>
              <w:t>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2C0D0">
            <w:pPr>
              <w:jc w:val="center"/>
            </w:pPr>
            <w:r>
              <w:rPr>
                <w:rFonts w:ascii="宋体" w:hAnsi="宋体" w:eastAsia="宋体"/>
                <w:sz w:val="16"/>
              </w:rPr>
              <w:t>未完成原因：截至2024年12月31日，项目资金已经支付47.89万元，2024年预算执行率为90.43%。项目剩余监理费、检测费，等到相关工作开展完才能支付，系统指标完成率按照序时进度计算，造成指标完成出现负偏差。改进措施：做好项目管理工作，资金达到支付条件时及时支付项目剩余资金。</w:t>
            </w:r>
          </w:p>
        </w:tc>
      </w:tr>
      <w:tr w14:paraId="0E018C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6E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872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EB8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F05A">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6BE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2F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C89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EE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64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A4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4690">
            <w:pPr>
              <w:jc w:val="center"/>
            </w:pPr>
            <w:r>
              <w:rPr>
                <w:rFonts w:ascii="宋体" w:hAnsi="宋体" w:eastAsia="宋体"/>
                <w:sz w:val="16"/>
              </w:rPr>
              <w:t>=90.43%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6FF51">
            <w:pPr>
              <w:jc w:val="center"/>
            </w:pPr>
            <w:r>
              <w:rPr>
                <w:rFonts w:ascii="宋体" w:hAnsi="宋体" w:eastAsia="宋体"/>
                <w:sz w:val="16"/>
              </w:rPr>
              <w:t>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EE4DE">
            <w:pPr>
              <w:jc w:val="center"/>
            </w:pPr>
            <w:r>
              <w:rPr>
                <w:rFonts w:ascii="宋体" w:hAnsi="宋体" w:eastAsia="宋体"/>
                <w:sz w:val="16"/>
              </w:rPr>
              <w:t>未完成原因：截至2024年12月31日，项目资金已经支付47.89万元，2024年预算执行率为90.43%。项目剩余监理费、检测费，等到相关工作开展完才能支付，系统指标完成率按照序时进度计算，造成指标完成出现负偏差。改进措施：做好项目管理工作，资金达到支付条件时及时支付项目剩余资金。</w:t>
            </w:r>
          </w:p>
        </w:tc>
      </w:tr>
      <w:tr w14:paraId="2F2F0E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DC8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B9A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D2D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DAB2">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40E0">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DC1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A0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D7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2428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F8D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DD56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2E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AF738">
            <w:pPr>
              <w:jc w:val="center"/>
            </w:pPr>
            <w:r>
              <w:rPr>
                <w:rFonts w:ascii="宋体" w:hAnsi="宋体" w:eastAsia="宋体"/>
                <w:sz w:val="16"/>
              </w:rPr>
              <w:t>未完成原因：截至2024年12月31日，项目资金已经支付47.89万元，2024年预算执行率为90.43%。项目剩余监理费、检测费，等到相关工作开展完才能支付，系统指标完成率按照序时进度计算，造成指标完成出现负偏差。改进措施：做好项目管理工作，资金达到支付条件时及时支付项目剩余资金。</w:t>
            </w:r>
          </w:p>
        </w:tc>
      </w:tr>
      <w:tr w14:paraId="0EDEBE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1D3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9715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71A6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F95EB">
            <w:pPr>
              <w:jc w:val="center"/>
            </w:pPr>
            <w:r>
              <w:rPr>
                <w:rFonts w:ascii="宋体" w:hAnsi="宋体" w:eastAsia="宋体"/>
                <w:sz w:val="16"/>
              </w:rPr>
              <w:t>清偿尾款支出平均预算控制数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45CD2">
            <w:pPr>
              <w:jc w:val="center"/>
            </w:pPr>
            <w:r>
              <w:rPr>
                <w:rFonts w:ascii="宋体" w:hAnsi="宋体" w:eastAsia="宋体"/>
                <w:sz w:val="16"/>
              </w:rPr>
              <w:t>&lt;=52.96万元/个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5DE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D00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1C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326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B17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1D3B">
            <w:pPr>
              <w:jc w:val="center"/>
            </w:pPr>
            <w:r>
              <w:rPr>
                <w:rFonts w:ascii="宋体" w:hAnsi="宋体" w:eastAsia="宋体"/>
                <w:sz w:val="16"/>
              </w:rPr>
              <w:t>=47.89万元/个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3266">
            <w:pPr>
              <w:jc w:val="center"/>
            </w:pPr>
            <w:r>
              <w:rPr>
                <w:rFonts w:ascii="宋体" w:hAnsi="宋体" w:eastAsia="宋体"/>
                <w:sz w:val="16"/>
              </w:rPr>
              <w:t>15.22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33866">
            <w:pPr>
              <w:jc w:val="center"/>
            </w:pPr>
            <w:r>
              <w:rPr>
                <w:rFonts w:ascii="宋体" w:hAnsi="宋体" w:eastAsia="宋体"/>
                <w:sz w:val="16"/>
              </w:rPr>
              <w:t>未完成原因：截至2024年12月31日，项目资金已经支付47.89万元，2024年预算执行率为90.43%。项目剩余监理费、检测费，等到相关工作开展完才能支付，系统指标完成率按照序时进度计算，造成指标完成出现负偏差。改进措施：做好项目管理工作，资金达到支付条件时及时支付项目剩余资金。</w:t>
            </w:r>
          </w:p>
        </w:tc>
      </w:tr>
      <w:tr w14:paraId="55AAFF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F18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10F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ABE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CB36">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2427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56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9D6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5D3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90E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C7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69FDF">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ABFB8">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30A5B">
            <w:pPr>
              <w:jc w:val="center"/>
            </w:pPr>
            <w:r>
              <w:rPr>
                <w:rFonts w:ascii="宋体" w:hAnsi="宋体" w:eastAsia="宋体"/>
                <w:sz w:val="16"/>
              </w:rPr>
              <w:t>未完成原因：截至2024年12月31日，项目资金已经支付47.89万元，2024年预算执行率为90.43%。项目剩余监理费、检测费，等到相关工作开展完才能支付，系统指标完成率按照序时进度计算，造成指标完成出现负偏差。改进措施：做好项目管理工作，资金达到支付条件时及时支付项目剩余资金。</w:t>
            </w:r>
          </w:p>
        </w:tc>
      </w:tr>
      <w:tr w14:paraId="6CA10CF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FB4E1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7865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5BB0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83A84">
            <w:pPr>
              <w:jc w:val="center"/>
            </w:pPr>
            <w:r>
              <w:rPr>
                <w:rFonts w:ascii="宋体" w:hAnsi="宋体" w:eastAsia="宋体"/>
                <w:sz w:val="16"/>
              </w:rPr>
              <w:t>79.1分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9A807EE"/>
        </w:tc>
      </w:tr>
    </w:tbl>
    <w:p w14:paraId="63CCEBE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32"/>
        <w:gridCol w:w="632"/>
        <w:gridCol w:w="632"/>
        <w:gridCol w:w="632"/>
      </w:tblGrid>
      <w:tr w14:paraId="203D8F3B">
        <w:tblPrEx>
          <w:tblCellMar>
            <w:top w:w="0" w:type="dxa"/>
            <w:left w:w="108" w:type="dxa"/>
            <w:bottom w:w="0" w:type="dxa"/>
            <w:right w:w="108" w:type="dxa"/>
          </w:tblCellMar>
        </w:tblPrEx>
        <w:tc>
          <w:tcPr>
            <w:tcW w:w="8848" w:type="dxa"/>
            <w:gridSpan w:val="14"/>
            <w:vAlign w:val="center"/>
          </w:tcPr>
          <w:p w14:paraId="55A7A541">
            <w:pPr>
              <w:jc w:val="center"/>
            </w:pPr>
            <w:r>
              <w:rPr>
                <w:rFonts w:ascii="宋体" w:hAnsi="宋体" w:eastAsia="宋体"/>
                <w:sz w:val="24"/>
              </w:rPr>
              <w:t>项目支出绩效自评表</w:t>
            </w:r>
          </w:p>
        </w:tc>
      </w:tr>
      <w:tr w14:paraId="7AC69291">
        <w:tblPrEx>
          <w:tblCellMar>
            <w:top w:w="0" w:type="dxa"/>
            <w:left w:w="108" w:type="dxa"/>
            <w:bottom w:w="0" w:type="dxa"/>
            <w:right w:w="108" w:type="dxa"/>
          </w:tblCellMar>
        </w:tblPrEx>
        <w:tc>
          <w:tcPr>
            <w:tcW w:w="8848" w:type="dxa"/>
            <w:gridSpan w:val="14"/>
            <w:vAlign w:val="center"/>
          </w:tcPr>
          <w:p w14:paraId="58CB1A13">
            <w:pPr>
              <w:jc w:val="center"/>
            </w:pPr>
            <w:r>
              <w:rPr>
                <w:rFonts w:ascii="宋体" w:hAnsi="宋体" w:eastAsia="宋体"/>
                <w:sz w:val="24"/>
              </w:rPr>
              <w:t>(2024年度)</w:t>
            </w:r>
          </w:p>
        </w:tc>
      </w:tr>
      <w:tr w14:paraId="4942C8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2892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BFF90E">
            <w:pPr>
              <w:jc w:val="center"/>
            </w:pPr>
            <w:r>
              <w:rPr>
                <w:rFonts w:ascii="宋体" w:hAnsi="宋体" w:eastAsia="宋体"/>
                <w:sz w:val="16"/>
              </w:rPr>
              <w:t>清偿欠款项目</w:t>
            </w:r>
          </w:p>
        </w:tc>
      </w:tr>
      <w:tr w14:paraId="222A56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77B2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B45A8F">
            <w:pPr>
              <w:jc w:val="center"/>
            </w:pPr>
            <w:r>
              <w:rPr>
                <w:rFonts w:ascii="宋体" w:hAnsi="宋体" w:eastAsia="宋体"/>
                <w:sz w:val="16"/>
              </w:rPr>
              <w:t>岳普湖县发展和改革委员会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63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1ABAF3">
            <w:pPr>
              <w:jc w:val="center"/>
            </w:pPr>
            <w:r>
              <w:rPr>
                <w:rFonts w:ascii="宋体" w:hAnsi="宋体" w:eastAsia="宋体"/>
                <w:sz w:val="16"/>
              </w:rPr>
              <w:t>岳普湖县发展和改革委员会</w:t>
            </w:r>
          </w:p>
        </w:tc>
      </w:tr>
      <w:tr w14:paraId="1303CD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BECA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5D0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FF9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842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C544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53E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994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6B848">
            <w:pPr>
              <w:jc w:val="center"/>
            </w:pPr>
            <w:r>
              <w:rPr>
                <w:rFonts w:ascii="宋体" w:hAnsi="宋体" w:eastAsia="宋体"/>
                <w:sz w:val="16"/>
              </w:rPr>
              <w:t>得分</w:t>
            </w:r>
          </w:p>
        </w:tc>
      </w:tr>
      <w:tr w14:paraId="563A80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452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CB9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EBB73">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0E4EA">
            <w:pPr>
              <w:jc w:val="center"/>
            </w:pPr>
            <w:r>
              <w:rPr>
                <w:rFonts w:ascii="宋体" w:hAnsi="宋体" w:eastAsia="宋体"/>
                <w:sz w:val="16"/>
              </w:rPr>
              <w:t>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714C5">
            <w:pPr>
              <w:jc w:val="center"/>
            </w:pPr>
            <w:r>
              <w:rPr>
                <w:rFonts w:ascii="宋体" w:hAnsi="宋体" w:eastAsia="宋体"/>
                <w:sz w:val="16"/>
              </w:rPr>
              <w:t>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A3D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10F6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52DEF">
            <w:pPr>
              <w:jc w:val="center"/>
            </w:pPr>
            <w:r>
              <w:rPr>
                <w:rFonts w:ascii="宋体" w:hAnsi="宋体" w:eastAsia="宋体"/>
                <w:sz w:val="16"/>
              </w:rPr>
              <w:t>10.00分</w:t>
            </w:r>
          </w:p>
        </w:tc>
      </w:tr>
      <w:tr w14:paraId="3327BE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9E8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6ED0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FA3A0">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AED99">
            <w:pPr>
              <w:jc w:val="center"/>
            </w:pPr>
            <w:r>
              <w:rPr>
                <w:rFonts w:ascii="宋体" w:hAnsi="宋体" w:eastAsia="宋体"/>
                <w:sz w:val="16"/>
              </w:rPr>
              <w:t>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52DEB">
            <w:pPr>
              <w:jc w:val="center"/>
            </w:pPr>
            <w:r>
              <w:rPr>
                <w:rFonts w:ascii="宋体" w:hAnsi="宋体" w:eastAsia="宋体"/>
                <w:sz w:val="16"/>
              </w:rPr>
              <w:t>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528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5899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0E41">
            <w:pPr>
              <w:jc w:val="center"/>
            </w:pPr>
            <w:r>
              <w:rPr>
                <w:rFonts w:ascii="宋体" w:hAnsi="宋体" w:eastAsia="宋体"/>
                <w:sz w:val="16"/>
              </w:rPr>
              <w:t>—</w:t>
            </w:r>
          </w:p>
        </w:tc>
      </w:tr>
      <w:tr w14:paraId="3F0962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7D9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A5DC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0F7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C4F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38E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2D0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FDCD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28C2">
            <w:pPr>
              <w:jc w:val="center"/>
            </w:pPr>
            <w:r>
              <w:rPr>
                <w:rFonts w:ascii="宋体" w:hAnsi="宋体" w:eastAsia="宋体"/>
                <w:sz w:val="16"/>
              </w:rPr>
              <w:t>—</w:t>
            </w:r>
          </w:p>
        </w:tc>
      </w:tr>
      <w:tr w14:paraId="0F3BC2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7464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F8ED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88F9CE">
            <w:pPr>
              <w:jc w:val="center"/>
            </w:pPr>
            <w:r>
              <w:rPr>
                <w:rFonts w:ascii="宋体" w:hAnsi="宋体" w:eastAsia="宋体"/>
                <w:sz w:val="16"/>
              </w:rPr>
              <w:t>实际完成情况</w:t>
            </w:r>
          </w:p>
        </w:tc>
      </w:tr>
      <w:tr w14:paraId="39FD5B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4589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2BDB6C">
            <w:pPr>
              <w:jc w:val="both"/>
            </w:pPr>
            <w:r>
              <w:rPr>
                <w:rFonts w:ascii="宋体" w:hAnsi="宋体" w:eastAsia="宋体"/>
                <w:sz w:val="16"/>
              </w:rPr>
              <w:t>项目资金主要用于清偿“疾病防控项目”，共计1个项目以前年度应付未付的项目欠款。确保项目欠款按期及时支付，提高政府部门的履约和服务能力，增强政府公信力。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C3EBFB">
            <w:pPr>
              <w:jc w:val="both"/>
            </w:pPr>
            <w:r>
              <w:rPr>
                <w:rFonts w:ascii="宋体" w:hAnsi="宋体" w:eastAsia="宋体"/>
                <w:sz w:val="16"/>
              </w:rPr>
              <w:t>已经按照约定偿还了“疾病防控项目”共计1个项目以前年度应付未付的项目欠款。项目预算执行率为100%。项目的实施确保了项目欠款按期及时支付，有效提高了政府部门的履约和服务能力，增强了政府公信力。</w:t>
            </w:r>
            <w:r>
              <w:rPr>
                <w:rFonts w:ascii="宋体" w:hAnsi="宋体" w:eastAsia="宋体"/>
                <w:sz w:val="16"/>
              </w:rPr>
              <w:br w:type="textWrapping"/>
            </w:r>
          </w:p>
        </w:tc>
      </w:tr>
      <w:tr w14:paraId="6CD661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47A3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70E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C3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68C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719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99E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525D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AC51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FF0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96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261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6C2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50176">
            <w:pPr>
              <w:jc w:val="center"/>
            </w:pPr>
            <w:r>
              <w:rPr>
                <w:rFonts w:ascii="宋体" w:hAnsi="宋体" w:eastAsia="宋体"/>
                <w:sz w:val="16"/>
              </w:rPr>
              <w:t>偏差原因分析及改进措施</w:t>
            </w:r>
          </w:p>
        </w:tc>
      </w:tr>
      <w:tr w14:paraId="3D8BA5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59F9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CD55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657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3CA7">
            <w:pPr>
              <w:jc w:val="center"/>
            </w:pPr>
            <w:r>
              <w:rPr>
                <w:rFonts w:ascii="宋体" w:hAnsi="宋体" w:eastAsia="宋体"/>
                <w:sz w:val="16"/>
              </w:rPr>
              <w:t>偿还欠款项目数量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2B5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F94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8BD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1F9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9E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1C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F21C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AAC7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3CE4F">
            <w:pPr>
              <w:jc w:val="center"/>
            </w:pPr>
          </w:p>
        </w:tc>
      </w:tr>
      <w:tr w14:paraId="41254F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6ED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277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F005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F4C0">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45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48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E28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E8D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1F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D5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B61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530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0C5AA">
            <w:pPr>
              <w:jc w:val="center"/>
            </w:pPr>
          </w:p>
        </w:tc>
      </w:tr>
      <w:tr w14:paraId="1696B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4EC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866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8EA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825B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39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98E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0A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8BC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BB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BB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5A5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881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C13C4">
            <w:pPr>
              <w:jc w:val="center"/>
            </w:pPr>
          </w:p>
        </w:tc>
      </w:tr>
      <w:tr w14:paraId="2FC4C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8D6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CB6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240E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E9F4">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B43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F68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B49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7E7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F97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DD6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EAE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35C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C7D54">
            <w:pPr>
              <w:jc w:val="center"/>
            </w:pPr>
          </w:p>
        </w:tc>
      </w:tr>
      <w:tr w14:paraId="27A8DE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603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BD8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3AB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94E69">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055DB">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A3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6F59">
            <w:pPr>
              <w:jc w:val="center"/>
            </w:pPr>
            <w:r>
              <w:rPr>
                <w:rFonts w:ascii="宋体" w:hAnsi="宋体" w:eastAsia="宋体"/>
                <w:sz w:val="16"/>
              </w:rPr>
              <w:t>2023年11月15日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CB3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F1BD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4AB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18DA">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5F8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BF49C">
            <w:pPr>
              <w:jc w:val="center"/>
            </w:pPr>
          </w:p>
        </w:tc>
      </w:tr>
      <w:tr w14:paraId="55F025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2C8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44F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605E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F529">
            <w:pPr>
              <w:jc w:val="center"/>
            </w:pPr>
            <w:r>
              <w:rPr>
                <w:rFonts w:ascii="宋体" w:hAnsi="宋体" w:eastAsia="宋体"/>
                <w:sz w:val="16"/>
              </w:rPr>
              <w:t>偿还欠款平均预算支出控制数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5FE9">
            <w:pPr>
              <w:jc w:val="center"/>
            </w:pPr>
            <w:r>
              <w:rPr>
                <w:rFonts w:ascii="宋体" w:hAnsi="宋体" w:eastAsia="宋体"/>
                <w:sz w:val="16"/>
              </w:rPr>
              <w:t>&lt;=8.88万元/个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4C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620A7">
            <w:pPr>
              <w:jc w:val="center"/>
            </w:pPr>
            <w:r>
              <w:rPr>
                <w:rFonts w:ascii="宋体" w:hAnsi="宋体" w:eastAsia="宋体"/>
                <w:sz w:val="16"/>
              </w:rPr>
              <w:t>195.97万元/个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8C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1E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6AF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DFD2D">
            <w:pPr>
              <w:jc w:val="center"/>
            </w:pPr>
            <w:r>
              <w:rPr>
                <w:rFonts w:ascii="宋体" w:hAnsi="宋体" w:eastAsia="宋体"/>
                <w:sz w:val="16"/>
              </w:rPr>
              <w:t>=8.88万元/个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E12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FCA31">
            <w:pPr>
              <w:jc w:val="center"/>
            </w:pPr>
          </w:p>
        </w:tc>
      </w:tr>
      <w:tr w14:paraId="3DB87F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659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6D8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82E6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10109">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539E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E9E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F622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30F6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9F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5E8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5B4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1BEA">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03D36">
            <w:pPr>
              <w:jc w:val="center"/>
            </w:pPr>
          </w:p>
        </w:tc>
      </w:tr>
      <w:tr w14:paraId="779513A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9AB2E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464E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9A64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8F7C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AF31C8"/>
        </w:tc>
      </w:tr>
    </w:tbl>
    <w:p w14:paraId="5A527F2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2392F61">
        <w:tblPrEx>
          <w:tblCellMar>
            <w:top w:w="0" w:type="dxa"/>
            <w:left w:w="108" w:type="dxa"/>
            <w:bottom w:w="0" w:type="dxa"/>
            <w:right w:w="108" w:type="dxa"/>
          </w:tblCellMar>
        </w:tblPrEx>
        <w:tc>
          <w:tcPr>
            <w:tcW w:w="8848" w:type="dxa"/>
            <w:gridSpan w:val="14"/>
            <w:vAlign w:val="center"/>
          </w:tcPr>
          <w:p w14:paraId="3559C856">
            <w:pPr>
              <w:jc w:val="center"/>
            </w:pPr>
            <w:r>
              <w:rPr>
                <w:rFonts w:ascii="宋体" w:hAnsi="宋体" w:eastAsia="宋体"/>
                <w:sz w:val="24"/>
              </w:rPr>
              <w:t>项目支出绩效自评表</w:t>
            </w:r>
          </w:p>
        </w:tc>
      </w:tr>
      <w:tr w14:paraId="62BF3CF9">
        <w:tblPrEx>
          <w:tblCellMar>
            <w:top w:w="0" w:type="dxa"/>
            <w:left w:w="108" w:type="dxa"/>
            <w:bottom w:w="0" w:type="dxa"/>
            <w:right w:w="108" w:type="dxa"/>
          </w:tblCellMar>
        </w:tblPrEx>
        <w:tc>
          <w:tcPr>
            <w:tcW w:w="8848" w:type="dxa"/>
            <w:gridSpan w:val="14"/>
            <w:vAlign w:val="center"/>
          </w:tcPr>
          <w:p w14:paraId="79F251D5">
            <w:pPr>
              <w:jc w:val="center"/>
            </w:pPr>
            <w:r>
              <w:rPr>
                <w:rFonts w:ascii="宋体" w:hAnsi="宋体" w:eastAsia="宋体"/>
                <w:sz w:val="24"/>
              </w:rPr>
              <w:t>(2024年度)</w:t>
            </w:r>
          </w:p>
        </w:tc>
      </w:tr>
      <w:tr w14:paraId="0ABE44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A3D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A324FE">
            <w:pPr>
              <w:jc w:val="center"/>
            </w:pPr>
            <w:r>
              <w:rPr>
                <w:rFonts w:ascii="宋体" w:hAnsi="宋体" w:eastAsia="宋体"/>
                <w:sz w:val="16"/>
              </w:rPr>
              <w:t>采购应急物资项目</w:t>
            </w:r>
          </w:p>
        </w:tc>
      </w:tr>
      <w:tr w14:paraId="1C5977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AC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25BF8B">
            <w:pPr>
              <w:jc w:val="center"/>
            </w:pPr>
            <w:r>
              <w:rPr>
                <w:rFonts w:ascii="宋体" w:hAnsi="宋体" w:eastAsia="宋体"/>
                <w:sz w:val="16"/>
              </w:rPr>
              <w:t>岳普湖县发展和改革委员会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2D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25D8E8">
            <w:pPr>
              <w:jc w:val="center"/>
            </w:pPr>
            <w:r>
              <w:rPr>
                <w:rFonts w:ascii="宋体" w:hAnsi="宋体" w:eastAsia="宋体"/>
                <w:sz w:val="16"/>
              </w:rPr>
              <w:t>岳普湖县发展和改革委员会</w:t>
            </w:r>
          </w:p>
        </w:tc>
      </w:tr>
      <w:tr w14:paraId="7960CC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63EB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06FF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4D6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186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B30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5E9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EAA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D7A8A">
            <w:pPr>
              <w:jc w:val="center"/>
            </w:pPr>
            <w:r>
              <w:rPr>
                <w:rFonts w:ascii="宋体" w:hAnsi="宋体" w:eastAsia="宋体"/>
                <w:sz w:val="16"/>
              </w:rPr>
              <w:t>得分</w:t>
            </w:r>
          </w:p>
        </w:tc>
      </w:tr>
      <w:tr w14:paraId="794CA6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CA0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F5F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47E83">
            <w:pPr>
              <w:jc w:val="center"/>
            </w:pPr>
            <w:r>
              <w:rPr>
                <w:rFonts w:ascii="宋体" w:hAnsi="宋体" w:eastAsia="宋体"/>
                <w:sz w:val="16"/>
              </w:rPr>
              <w:t>48.73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9D589">
            <w:pPr>
              <w:jc w:val="center"/>
            </w:pPr>
            <w:r>
              <w:rPr>
                <w:rFonts w:ascii="宋体" w:hAnsi="宋体" w:eastAsia="宋体"/>
                <w:sz w:val="16"/>
              </w:rPr>
              <w:t>68.73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ED5D3">
            <w:pPr>
              <w:jc w:val="center"/>
            </w:pPr>
            <w:r>
              <w:rPr>
                <w:rFonts w:ascii="宋体" w:hAnsi="宋体" w:eastAsia="宋体"/>
                <w:sz w:val="16"/>
              </w:rPr>
              <w:t>68.73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8BC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DA31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BEF0E">
            <w:pPr>
              <w:jc w:val="center"/>
            </w:pPr>
            <w:r>
              <w:rPr>
                <w:rFonts w:ascii="宋体" w:hAnsi="宋体" w:eastAsia="宋体"/>
                <w:sz w:val="16"/>
              </w:rPr>
              <w:t>10.00分</w:t>
            </w:r>
          </w:p>
        </w:tc>
      </w:tr>
      <w:tr w14:paraId="2DA2D7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75C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F48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E4DD6">
            <w:pPr>
              <w:jc w:val="center"/>
            </w:pPr>
            <w:r>
              <w:rPr>
                <w:rFonts w:ascii="宋体" w:hAnsi="宋体" w:eastAsia="宋体"/>
                <w:sz w:val="16"/>
              </w:rPr>
              <w:t>48.73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1F638">
            <w:pPr>
              <w:jc w:val="center"/>
            </w:pPr>
            <w:r>
              <w:rPr>
                <w:rFonts w:ascii="宋体" w:hAnsi="宋体" w:eastAsia="宋体"/>
                <w:sz w:val="16"/>
              </w:rPr>
              <w:t>68.73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5C2B4">
            <w:pPr>
              <w:jc w:val="center"/>
            </w:pPr>
            <w:r>
              <w:rPr>
                <w:rFonts w:ascii="宋体" w:hAnsi="宋体" w:eastAsia="宋体"/>
                <w:sz w:val="16"/>
              </w:rPr>
              <w:t>68.73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609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9AA0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2D14">
            <w:pPr>
              <w:jc w:val="center"/>
            </w:pPr>
            <w:r>
              <w:rPr>
                <w:rFonts w:ascii="宋体" w:hAnsi="宋体" w:eastAsia="宋体"/>
                <w:sz w:val="16"/>
              </w:rPr>
              <w:t>—</w:t>
            </w:r>
          </w:p>
        </w:tc>
      </w:tr>
      <w:tr w14:paraId="57E540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F9B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B590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AB5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6F8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76A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6CA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B5FE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A201B">
            <w:pPr>
              <w:jc w:val="center"/>
            </w:pPr>
            <w:r>
              <w:rPr>
                <w:rFonts w:ascii="宋体" w:hAnsi="宋体" w:eastAsia="宋体"/>
                <w:sz w:val="16"/>
              </w:rPr>
              <w:t>—</w:t>
            </w:r>
          </w:p>
        </w:tc>
      </w:tr>
      <w:tr w14:paraId="71262C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3739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69D84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C7A45F">
            <w:pPr>
              <w:jc w:val="center"/>
            </w:pPr>
            <w:r>
              <w:rPr>
                <w:rFonts w:ascii="宋体" w:hAnsi="宋体" w:eastAsia="宋体"/>
                <w:sz w:val="16"/>
              </w:rPr>
              <w:t>实际完成情况</w:t>
            </w:r>
          </w:p>
        </w:tc>
      </w:tr>
      <w:tr w14:paraId="40FE6D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82A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B6AF2D">
            <w:pPr>
              <w:jc w:val="both"/>
            </w:pPr>
            <w:r>
              <w:rPr>
                <w:rFonts w:ascii="宋体" w:hAnsi="宋体" w:eastAsia="宋体"/>
                <w:sz w:val="16"/>
              </w:rPr>
              <w:t>项目资金主要用于采购应急保障储备物资，采购棉帐篷217顶，采购棉鞋1322双，采购床褥242床。通过项目的实施增强物资储备水平和效率，提高突发事件应急处理能力。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9155C7">
            <w:pPr>
              <w:jc w:val="both"/>
            </w:pPr>
            <w:r>
              <w:rPr>
                <w:rFonts w:ascii="宋体" w:hAnsi="宋体" w:eastAsia="宋体"/>
                <w:sz w:val="16"/>
              </w:rPr>
              <w:t>采购应急保障储备物资已经完成，采购棉帐篷达到了217顶，采购棉鞋达到了1322双，采购床褥达到了242床。项目预算执行率为100%。通过项目的实施有效增强了物资储备水平和效率，进一步提高了突发事件应急处理能力。单位物资采购管理人员满意度达到了100%。</w:t>
            </w:r>
          </w:p>
        </w:tc>
      </w:tr>
      <w:tr w14:paraId="322AFA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6BF0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C28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CF6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899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B4A2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1E2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C62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4D5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15A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86D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672E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D91B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50699">
            <w:pPr>
              <w:jc w:val="center"/>
            </w:pPr>
            <w:r>
              <w:rPr>
                <w:rFonts w:ascii="宋体" w:hAnsi="宋体" w:eastAsia="宋体"/>
                <w:sz w:val="16"/>
              </w:rPr>
              <w:t>偏差原因分析及改进措施</w:t>
            </w:r>
          </w:p>
        </w:tc>
      </w:tr>
      <w:tr w14:paraId="589EC1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3A73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8CAE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E9B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4655D">
            <w:pPr>
              <w:jc w:val="center"/>
            </w:pPr>
            <w:r>
              <w:rPr>
                <w:rFonts w:ascii="宋体" w:hAnsi="宋体" w:eastAsia="宋体"/>
                <w:sz w:val="16"/>
              </w:rPr>
              <w:t>采购棉帐篷数量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F24C8">
            <w:pPr>
              <w:jc w:val="center"/>
            </w:pPr>
            <w:r>
              <w:rPr>
                <w:rFonts w:ascii="宋体" w:hAnsi="宋体" w:eastAsia="宋体"/>
                <w:sz w:val="16"/>
              </w:rPr>
              <w:t>&gt;=217顶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E9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2DA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CA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255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96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A7FE">
            <w:pPr>
              <w:jc w:val="center"/>
            </w:pPr>
            <w:r>
              <w:rPr>
                <w:rFonts w:ascii="宋体" w:hAnsi="宋体" w:eastAsia="宋体"/>
                <w:sz w:val="16"/>
              </w:rPr>
              <w:t>=217顶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D6B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5976F">
            <w:pPr>
              <w:jc w:val="center"/>
            </w:pPr>
          </w:p>
        </w:tc>
      </w:tr>
      <w:tr w14:paraId="7A38F3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AC9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E1A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50B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BB260">
            <w:pPr>
              <w:jc w:val="center"/>
            </w:pPr>
            <w:r>
              <w:rPr>
                <w:rFonts w:ascii="宋体" w:hAnsi="宋体" w:eastAsia="宋体"/>
                <w:sz w:val="16"/>
              </w:rPr>
              <w:t>采购棉鞋数量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FC87">
            <w:pPr>
              <w:jc w:val="center"/>
            </w:pPr>
            <w:r>
              <w:rPr>
                <w:rFonts w:ascii="宋体" w:hAnsi="宋体" w:eastAsia="宋体"/>
                <w:sz w:val="16"/>
              </w:rPr>
              <w:t>&gt;=1322双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5F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5A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58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6BD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4C7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042B0">
            <w:pPr>
              <w:jc w:val="center"/>
            </w:pPr>
            <w:r>
              <w:rPr>
                <w:rFonts w:ascii="宋体" w:hAnsi="宋体" w:eastAsia="宋体"/>
                <w:sz w:val="16"/>
              </w:rPr>
              <w:t>=1322双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A621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45BD3">
            <w:pPr>
              <w:jc w:val="center"/>
            </w:pPr>
          </w:p>
        </w:tc>
      </w:tr>
      <w:tr w14:paraId="049CC6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0EE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2CC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8EB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BAA8">
            <w:pPr>
              <w:jc w:val="center"/>
            </w:pPr>
            <w:r>
              <w:rPr>
                <w:rFonts w:ascii="宋体" w:hAnsi="宋体" w:eastAsia="宋体"/>
                <w:sz w:val="16"/>
              </w:rPr>
              <w:t>采购床褥数量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F6F8">
            <w:pPr>
              <w:jc w:val="center"/>
            </w:pPr>
            <w:r>
              <w:rPr>
                <w:rFonts w:ascii="宋体" w:hAnsi="宋体" w:eastAsia="宋体"/>
                <w:sz w:val="16"/>
              </w:rPr>
              <w:t>&gt;=242床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A66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4EB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F297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DB9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272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52D17">
            <w:pPr>
              <w:jc w:val="center"/>
            </w:pPr>
            <w:r>
              <w:rPr>
                <w:rFonts w:ascii="宋体" w:hAnsi="宋体" w:eastAsia="宋体"/>
                <w:sz w:val="16"/>
              </w:rPr>
              <w:t>=242床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243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E679A">
            <w:pPr>
              <w:jc w:val="center"/>
            </w:pPr>
          </w:p>
        </w:tc>
      </w:tr>
      <w:tr w14:paraId="20989B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1A4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8AD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AC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CFE5">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DD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75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A5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E1E9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5CC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D2B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D8A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2D3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FFFA4">
            <w:pPr>
              <w:jc w:val="center"/>
            </w:pPr>
          </w:p>
        </w:tc>
      </w:tr>
      <w:tr w14:paraId="256FEE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611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7D3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10CA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948B">
            <w:pPr>
              <w:jc w:val="center"/>
            </w:pPr>
            <w:r>
              <w:rPr>
                <w:rFonts w:ascii="宋体" w:hAnsi="宋体" w:eastAsia="宋体"/>
                <w:sz w:val="16"/>
              </w:rPr>
              <w:t>采购验收完成时间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2800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031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B63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56C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D3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A98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A8C5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C4D6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E2DF1">
            <w:pPr>
              <w:jc w:val="center"/>
            </w:pPr>
          </w:p>
        </w:tc>
      </w:tr>
      <w:tr w14:paraId="1F6948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82D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EA1E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4A25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190D">
            <w:pPr>
              <w:jc w:val="center"/>
            </w:pPr>
            <w:r>
              <w:rPr>
                <w:rFonts w:ascii="宋体" w:hAnsi="宋体" w:eastAsia="宋体"/>
                <w:sz w:val="16"/>
              </w:rPr>
              <w:t>棉帐篷采购成本控制数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0119A">
            <w:pPr>
              <w:jc w:val="center"/>
            </w:pPr>
            <w:r>
              <w:rPr>
                <w:rFonts w:ascii="宋体" w:hAnsi="宋体" w:eastAsia="宋体"/>
                <w:sz w:val="16"/>
              </w:rPr>
              <w:t>&lt;=2300元/顶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0E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DDB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6C41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4D0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32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2224">
            <w:pPr>
              <w:jc w:val="center"/>
            </w:pPr>
            <w:r>
              <w:rPr>
                <w:rFonts w:ascii="宋体" w:hAnsi="宋体" w:eastAsia="宋体"/>
                <w:sz w:val="16"/>
              </w:rPr>
              <w:t>=2300元/顶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BA8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B04F7">
            <w:pPr>
              <w:jc w:val="center"/>
            </w:pPr>
          </w:p>
        </w:tc>
      </w:tr>
      <w:tr w14:paraId="77BB5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33C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275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A9C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4A153">
            <w:pPr>
              <w:jc w:val="center"/>
            </w:pPr>
            <w:r>
              <w:rPr>
                <w:rFonts w:ascii="宋体" w:hAnsi="宋体" w:eastAsia="宋体"/>
                <w:sz w:val="16"/>
              </w:rPr>
              <w:t>棉鞋采购成本控制数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F8167">
            <w:pPr>
              <w:jc w:val="center"/>
            </w:pPr>
            <w:r>
              <w:rPr>
                <w:rFonts w:ascii="宋体" w:hAnsi="宋体" w:eastAsia="宋体"/>
                <w:sz w:val="16"/>
              </w:rPr>
              <w:t>&lt;=125元/双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D9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BE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E00C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69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50D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C46D7">
            <w:pPr>
              <w:jc w:val="center"/>
            </w:pPr>
            <w:r>
              <w:rPr>
                <w:rFonts w:ascii="宋体" w:hAnsi="宋体" w:eastAsia="宋体"/>
                <w:sz w:val="16"/>
              </w:rPr>
              <w:t>=125元/双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FC6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645B4">
            <w:pPr>
              <w:jc w:val="center"/>
            </w:pPr>
          </w:p>
        </w:tc>
      </w:tr>
      <w:tr w14:paraId="1EB353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143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388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EC3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70AA1">
            <w:pPr>
              <w:jc w:val="center"/>
            </w:pPr>
            <w:r>
              <w:rPr>
                <w:rFonts w:ascii="宋体" w:hAnsi="宋体" w:eastAsia="宋体"/>
                <w:sz w:val="16"/>
              </w:rPr>
              <w:t>床褥采购成本控制数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D898E">
            <w:pPr>
              <w:jc w:val="center"/>
            </w:pPr>
            <w:r>
              <w:rPr>
                <w:rFonts w:ascii="宋体" w:hAnsi="宋体" w:eastAsia="宋体"/>
                <w:sz w:val="16"/>
              </w:rPr>
              <w:t>&lt;=242元/床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60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AA2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A585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78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0C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CA898">
            <w:pPr>
              <w:jc w:val="center"/>
            </w:pPr>
            <w:r>
              <w:rPr>
                <w:rFonts w:ascii="宋体" w:hAnsi="宋体" w:eastAsia="宋体"/>
                <w:sz w:val="16"/>
              </w:rPr>
              <w:t>=245元/床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B5C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C425C">
            <w:pPr>
              <w:jc w:val="center"/>
            </w:pPr>
          </w:p>
        </w:tc>
      </w:tr>
      <w:tr w14:paraId="27E6F6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9D7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418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3AC4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C6B47">
            <w:pPr>
              <w:jc w:val="center"/>
            </w:pPr>
            <w:r>
              <w:rPr>
                <w:rFonts w:ascii="宋体" w:hAnsi="宋体" w:eastAsia="宋体"/>
                <w:sz w:val="16"/>
              </w:rPr>
              <w:t>增强物资储备利用效率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E4B9">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67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4D4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0D5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7C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DF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1EDB">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7F6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A15FF">
            <w:pPr>
              <w:jc w:val="center"/>
            </w:pPr>
          </w:p>
        </w:tc>
      </w:tr>
      <w:tr w14:paraId="51D3F4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CC0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528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203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9D6B">
            <w:pPr>
              <w:jc w:val="center"/>
            </w:pPr>
            <w:r>
              <w:rPr>
                <w:rFonts w:ascii="宋体" w:hAnsi="宋体" w:eastAsia="宋体"/>
                <w:sz w:val="16"/>
              </w:rPr>
              <w:t>单位物资采购管理人员满意度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B2CD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D0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A12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E5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B7E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176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C6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CE9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449EA">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C92EC2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BEF98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B8E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1524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611D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EE91D1B"/>
        </w:tc>
      </w:tr>
    </w:tbl>
    <w:p w14:paraId="0EB11712">
      <w:r>
        <w:br w:type="page"/>
      </w:r>
    </w:p>
    <w:p w14:paraId="051A690C">
      <w:pPr>
        <w:spacing w:line="640" w:lineRule="exact"/>
        <w:ind w:firstLine="640"/>
        <w:jc w:val="both"/>
        <w:outlineLvl w:val="2"/>
      </w:pPr>
      <w:r>
        <w:rPr>
          <w:rFonts w:ascii="黑体" w:hAnsi="黑体" w:eastAsia="黑体"/>
          <w:sz w:val="32"/>
        </w:rPr>
        <w:t>十二、其他需说明的事项</w:t>
      </w:r>
    </w:p>
    <w:p w14:paraId="54686A09">
      <w:pPr>
        <w:spacing w:line="580" w:lineRule="exact"/>
        <w:ind w:firstLine="640"/>
        <w:jc w:val="both"/>
      </w:pPr>
      <w:r>
        <w:rPr>
          <w:rFonts w:ascii="仿宋_GB2312" w:hAnsi="仿宋_GB2312" w:eastAsia="仿宋_GB2312"/>
          <w:b w:val="0"/>
          <w:sz w:val="32"/>
        </w:rPr>
        <w:t>本单位无其他需说明的事项。</w:t>
      </w:r>
    </w:p>
    <w:p w14:paraId="51D08949">
      <w:r>
        <w:br w:type="page"/>
      </w:r>
    </w:p>
    <w:p w14:paraId="46125BBF">
      <w:pPr>
        <w:spacing w:line="240" w:lineRule="auto"/>
        <w:jc w:val="center"/>
        <w:outlineLvl w:val="1"/>
      </w:pPr>
      <w:r>
        <w:rPr>
          <w:rFonts w:ascii="黑体" w:hAnsi="黑体" w:eastAsia="黑体"/>
          <w:sz w:val="32"/>
        </w:rPr>
        <w:t>第三部分 专业名词解释</w:t>
      </w:r>
    </w:p>
    <w:p w14:paraId="4C85DE9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8AF46E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444A38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171E6A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A9B430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E0CDD8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C8FF39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E1E54D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FEF68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A219B6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E3B43A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133421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AD9DCC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229ABA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8796E32">
      <w:r>
        <w:br w:type="page"/>
      </w:r>
    </w:p>
    <w:p w14:paraId="0E76CBC0">
      <w:pPr>
        <w:spacing w:line="240" w:lineRule="auto"/>
        <w:jc w:val="center"/>
        <w:outlineLvl w:val="1"/>
      </w:pPr>
      <w:r>
        <w:rPr>
          <w:rFonts w:ascii="黑体" w:hAnsi="黑体" w:eastAsia="黑体"/>
          <w:sz w:val="32"/>
        </w:rPr>
        <w:t>第四部分 部门决算报表（见附表）</w:t>
      </w:r>
    </w:p>
    <w:p w14:paraId="42223CEA">
      <w:pPr>
        <w:spacing w:line="240" w:lineRule="auto"/>
        <w:ind w:firstLine="640"/>
        <w:jc w:val="both"/>
      </w:pPr>
      <w:r>
        <w:rPr>
          <w:rFonts w:ascii="仿宋_GB2312" w:hAnsi="仿宋_GB2312" w:eastAsia="仿宋_GB2312"/>
          <w:b w:val="0"/>
          <w:sz w:val="32"/>
        </w:rPr>
        <w:t>一、《收入支出决算总表》</w:t>
      </w:r>
    </w:p>
    <w:p w14:paraId="390DA014">
      <w:pPr>
        <w:spacing w:line="240" w:lineRule="auto"/>
        <w:ind w:firstLine="640"/>
        <w:jc w:val="both"/>
      </w:pPr>
      <w:r>
        <w:rPr>
          <w:rFonts w:ascii="仿宋_GB2312" w:hAnsi="仿宋_GB2312" w:eastAsia="仿宋_GB2312"/>
          <w:b w:val="0"/>
          <w:sz w:val="32"/>
        </w:rPr>
        <w:t>二、《收入决算表》</w:t>
      </w:r>
    </w:p>
    <w:p w14:paraId="1A669FEB">
      <w:pPr>
        <w:spacing w:line="240" w:lineRule="auto"/>
        <w:ind w:firstLine="640"/>
        <w:jc w:val="both"/>
      </w:pPr>
      <w:r>
        <w:rPr>
          <w:rFonts w:ascii="仿宋_GB2312" w:hAnsi="仿宋_GB2312" w:eastAsia="仿宋_GB2312"/>
          <w:b w:val="0"/>
          <w:sz w:val="32"/>
        </w:rPr>
        <w:t>三、《支出决算表》</w:t>
      </w:r>
    </w:p>
    <w:p w14:paraId="579F81A4">
      <w:pPr>
        <w:spacing w:line="240" w:lineRule="auto"/>
        <w:ind w:firstLine="640"/>
        <w:jc w:val="both"/>
      </w:pPr>
      <w:r>
        <w:rPr>
          <w:rFonts w:ascii="仿宋_GB2312" w:hAnsi="仿宋_GB2312" w:eastAsia="仿宋_GB2312"/>
          <w:b w:val="0"/>
          <w:sz w:val="32"/>
        </w:rPr>
        <w:t>四、《财政拨款收入支出决算总表》</w:t>
      </w:r>
    </w:p>
    <w:p w14:paraId="64E36467">
      <w:pPr>
        <w:spacing w:line="240" w:lineRule="auto"/>
        <w:ind w:firstLine="640"/>
        <w:jc w:val="both"/>
      </w:pPr>
      <w:r>
        <w:rPr>
          <w:rFonts w:ascii="仿宋_GB2312" w:hAnsi="仿宋_GB2312" w:eastAsia="仿宋_GB2312"/>
          <w:b w:val="0"/>
          <w:sz w:val="32"/>
        </w:rPr>
        <w:t>五、《一般公共预算财政拨款支出决算表》</w:t>
      </w:r>
    </w:p>
    <w:p w14:paraId="611FFEA7">
      <w:pPr>
        <w:spacing w:line="240" w:lineRule="auto"/>
        <w:ind w:firstLine="640"/>
        <w:jc w:val="both"/>
      </w:pPr>
      <w:r>
        <w:rPr>
          <w:rFonts w:ascii="仿宋_GB2312" w:hAnsi="仿宋_GB2312" w:eastAsia="仿宋_GB2312"/>
          <w:b w:val="0"/>
          <w:sz w:val="32"/>
        </w:rPr>
        <w:t>六、《一般公共预算财政拨款基本支出决算表》</w:t>
      </w:r>
    </w:p>
    <w:p w14:paraId="649E61F2">
      <w:pPr>
        <w:spacing w:line="240" w:lineRule="auto"/>
        <w:ind w:firstLine="640"/>
        <w:jc w:val="both"/>
      </w:pPr>
      <w:r>
        <w:rPr>
          <w:rFonts w:ascii="仿宋_GB2312" w:hAnsi="仿宋_GB2312" w:eastAsia="仿宋_GB2312"/>
          <w:b w:val="0"/>
          <w:sz w:val="32"/>
        </w:rPr>
        <w:t>七、《政府性基金预算财政拨款收入支出决算表》</w:t>
      </w:r>
    </w:p>
    <w:p w14:paraId="72474E6C">
      <w:pPr>
        <w:spacing w:line="240" w:lineRule="auto"/>
        <w:ind w:firstLine="640"/>
        <w:jc w:val="both"/>
      </w:pPr>
      <w:r>
        <w:rPr>
          <w:rFonts w:ascii="仿宋_GB2312" w:hAnsi="仿宋_GB2312" w:eastAsia="仿宋_GB2312"/>
          <w:b w:val="0"/>
          <w:sz w:val="32"/>
        </w:rPr>
        <w:t>八、《国有资本经营预算财政拨款收入支出决算表》</w:t>
      </w:r>
    </w:p>
    <w:p w14:paraId="687A5572">
      <w:pPr>
        <w:spacing w:line="240" w:lineRule="auto"/>
        <w:ind w:firstLine="640"/>
        <w:jc w:val="both"/>
      </w:pPr>
      <w:r>
        <w:rPr>
          <w:rFonts w:ascii="仿宋_GB2312" w:hAnsi="仿宋_GB2312" w:eastAsia="仿宋_GB2312"/>
          <w:b w:val="0"/>
          <w:sz w:val="32"/>
        </w:rPr>
        <w:t>九、《财政拨款“三公”经费支出决算表》</w:t>
      </w:r>
    </w:p>
    <w:p w14:paraId="55288068">
      <w:pPr>
        <w:spacing w:line="240" w:lineRule="auto"/>
        <w:ind w:firstLine="640"/>
        <w:jc w:val="both"/>
      </w:pPr>
    </w:p>
    <w:p w14:paraId="152297F7">
      <w:pPr>
        <w:spacing w:line="240" w:lineRule="auto"/>
        <w:ind w:firstLine="640"/>
        <w:jc w:val="both"/>
      </w:pPr>
    </w:p>
    <w:p w14:paraId="31879235">
      <w:pPr>
        <w:spacing w:line="240" w:lineRule="auto"/>
        <w:ind w:firstLine="640"/>
        <w:jc w:val="both"/>
      </w:pPr>
    </w:p>
    <w:p w14:paraId="1D28B6A3">
      <w:pPr>
        <w:spacing w:line="240" w:lineRule="auto"/>
        <w:ind w:firstLine="640"/>
        <w:jc w:val="both"/>
      </w:pPr>
    </w:p>
    <w:p w14:paraId="30EA0E8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3D0D83"/>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48646F"/>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6835</Words>
  <Characters>7938</Characters>
  <Lines>0</Lines>
  <Paragraphs>0</Paragraphs>
  <TotalTime>14</TotalTime>
  <ScaleCrop>false</ScaleCrop>
  <LinksUpToDate>false</LinksUpToDate>
  <CharactersWithSpaces>7946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2025-09-12T10:55:12Z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