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岳普湖县商务和工业信息化局2024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917549B">
      <w:r>
        <w:br w:type="page"/>
      </w:r>
    </w:p>
    <w:p w14:paraId="37D6CBFF">
      <w:pPr>
        <w:spacing w:line="640" w:lineRule="exact"/>
        <w:jc w:val="center"/>
        <w:outlineLvl w:val="1"/>
      </w:pPr>
      <w:r>
        <w:rPr>
          <w:rFonts w:ascii="黑体" w:hAnsi="黑体" w:eastAsia="黑体"/>
          <w:sz w:val="32"/>
        </w:rPr>
        <w:t>第一部分 单位概况</w:t>
      </w:r>
    </w:p>
    <w:p w14:paraId="45427E44">
      <w:pPr>
        <w:spacing w:line="640" w:lineRule="exact"/>
        <w:ind w:firstLine="640"/>
        <w:jc w:val="both"/>
        <w:outlineLvl w:val="2"/>
      </w:pPr>
      <w:r>
        <w:rPr>
          <w:rFonts w:ascii="黑体" w:hAnsi="黑体" w:eastAsia="黑体"/>
          <w:sz w:val="32"/>
        </w:rPr>
        <w:t>一、主要职能</w:t>
      </w:r>
    </w:p>
    <w:p w14:paraId="66DC30A8">
      <w:pPr>
        <w:spacing w:line="580" w:lineRule="exact"/>
        <w:ind w:firstLine="640"/>
        <w:jc w:val="both"/>
      </w:pPr>
      <w:r>
        <w:rPr>
          <w:rFonts w:ascii="仿宋_GB2312" w:hAnsi="仿宋_GB2312" w:eastAsia="仿宋_GB2312"/>
          <w:sz w:val="32"/>
        </w:rPr>
        <w:t>贯彻执行国家、自治区、地区工业信息化的法律法规和方针政策。监测、分析全县物流与电子商务产业的运行态势，统计并发布相关信息，进行预测预警和信息引导。指导工商企业投资和商业性银行贷款方向。拟定服务贸易发展规划并开展相关工作。</w:t>
      </w:r>
    </w:p>
    <w:p w14:paraId="3552E342">
      <w:pPr>
        <w:spacing w:line="640" w:lineRule="exact"/>
        <w:ind w:firstLine="640"/>
        <w:jc w:val="both"/>
        <w:outlineLvl w:val="2"/>
      </w:pPr>
      <w:r>
        <w:rPr>
          <w:rFonts w:ascii="黑体" w:hAnsi="黑体" w:eastAsia="黑体"/>
          <w:sz w:val="32"/>
        </w:rPr>
        <w:t>二、机构设置及人员情况</w:t>
      </w:r>
    </w:p>
    <w:p w14:paraId="09154313">
      <w:pPr>
        <w:spacing w:line="580" w:lineRule="exact"/>
        <w:ind w:firstLine="640"/>
        <w:jc w:val="both"/>
      </w:pPr>
      <w:r>
        <w:rPr>
          <w:rFonts w:ascii="仿宋_GB2312" w:hAnsi="仿宋_GB2312" w:eastAsia="仿宋_GB2312"/>
          <w:sz w:val="32"/>
        </w:rPr>
        <w:t>岳普湖县商务和工业信息化局2024年度，实有人数30人，其中：在职人员9人，减少4人；离休人员0人，增加0人；退休人员21人,增加1人。</w:t>
      </w:r>
    </w:p>
    <w:p w14:paraId="17F3ACA0">
      <w:pPr>
        <w:spacing w:line="580" w:lineRule="exact"/>
        <w:ind w:firstLine="640"/>
        <w:jc w:val="both"/>
      </w:pPr>
      <w:r>
        <w:rPr>
          <w:rFonts w:ascii="仿宋_GB2312" w:hAnsi="仿宋_GB2312" w:eastAsia="仿宋_GB2312"/>
          <w:sz w:val="32"/>
        </w:rPr>
        <w:t>岳普湖县商务和工业信息化局无下属预算单位，下设3个科室，分别是：行政办公室、企业服务中心与信息化办公室、电子信息与产业规划室。</w:t>
      </w:r>
    </w:p>
    <w:p w14:paraId="4772A331">
      <w:r>
        <w:br w:type="page"/>
      </w:r>
    </w:p>
    <w:p w14:paraId="438C6179">
      <w:pPr>
        <w:spacing w:line="240" w:lineRule="auto"/>
        <w:jc w:val="center"/>
        <w:outlineLvl w:val="1"/>
      </w:pPr>
      <w:r>
        <w:rPr>
          <w:rFonts w:ascii="黑体" w:hAnsi="黑体" w:eastAsia="黑体"/>
          <w:sz w:val="32"/>
        </w:rPr>
        <w:t>第二部分 部门决算情况说明</w:t>
      </w:r>
    </w:p>
    <w:p w14:paraId="5AA11AE7">
      <w:pPr>
        <w:spacing w:line="640" w:lineRule="exact"/>
        <w:ind w:firstLine="640"/>
        <w:jc w:val="both"/>
        <w:outlineLvl w:val="2"/>
      </w:pPr>
      <w:r>
        <w:rPr>
          <w:rFonts w:ascii="黑体" w:hAnsi="黑体" w:eastAsia="黑体"/>
          <w:sz w:val="32"/>
        </w:rPr>
        <w:t>一、收入支出决算总体情况说明</w:t>
      </w:r>
    </w:p>
    <w:p w14:paraId="3C6CF72C">
      <w:pPr>
        <w:spacing w:line="580" w:lineRule="exact"/>
        <w:ind w:firstLine="640"/>
        <w:jc w:val="both"/>
      </w:pPr>
      <w:r>
        <w:rPr>
          <w:rFonts w:ascii="仿宋_GB2312" w:hAnsi="仿宋_GB2312" w:eastAsia="仿宋_GB2312"/>
          <w:b/>
          <w:sz w:val="32"/>
        </w:rPr>
        <w:t>2024年度收入总计20,021.95万元，</w:t>
      </w:r>
      <w:r>
        <w:rPr>
          <w:rFonts w:ascii="仿宋_GB2312" w:hAnsi="仿宋_GB2312" w:eastAsia="仿宋_GB2312"/>
          <w:b w:val="0"/>
          <w:sz w:val="32"/>
        </w:rPr>
        <w:t>其中：本年收入合计20,021.95万元，使用非财政拨款结余（含专用结余）0.00万元，年初结转和结余0.00万元。</w:t>
      </w:r>
    </w:p>
    <w:p w14:paraId="27C420AD">
      <w:pPr>
        <w:spacing w:line="580" w:lineRule="exact"/>
        <w:ind w:firstLine="640"/>
        <w:jc w:val="both"/>
      </w:pPr>
      <w:r>
        <w:rPr>
          <w:rFonts w:ascii="仿宋_GB2312" w:hAnsi="仿宋_GB2312" w:eastAsia="仿宋_GB2312"/>
          <w:b/>
          <w:sz w:val="32"/>
        </w:rPr>
        <w:t>2024年度支出总计20,021.95万元，</w:t>
      </w:r>
      <w:r>
        <w:rPr>
          <w:rFonts w:ascii="仿宋_GB2312" w:hAnsi="仿宋_GB2312" w:eastAsia="仿宋_GB2312"/>
          <w:b w:val="0"/>
          <w:sz w:val="32"/>
        </w:rPr>
        <w:t>其中：本年支出合计20,021.95万元，结余分配0.00万元，年末结转和结余0.00万元。</w:t>
      </w:r>
    </w:p>
    <w:p w14:paraId="327DD372">
      <w:pPr>
        <w:spacing w:line="580" w:lineRule="exact"/>
        <w:ind w:firstLine="640"/>
        <w:jc w:val="both"/>
      </w:pPr>
      <w:r>
        <w:rPr>
          <w:rFonts w:ascii="仿宋_GB2312" w:hAnsi="仿宋_GB2312" w:eastAsia="仿宋_GB2312"/>
          <w:b w:val="0"/>
          <w:sz w:val="32"/>
        </w:rPr>
        <w:t>收入支出总体与上年相比，增加8,109.12万元，增长68.07%，主要原因是：本年增加项目用地租赁及项目用地租赁违约金、招商引资项目业务专项经费、岳普湖高标准厂房建设项目等项目。</w:t>
      </w:r>
    </w:p>
    <w:p w14:paraId="37720899">
      <w:pPr>
        <w:spacing w:line="640" w:lineRule="exact"/>
        <w:ind w:firstLine="640"/>
        <w:jc w:val="both"/>
        <w:outlineLvl w:val="2"/>
      </w:pPr>
      <w:r>
        <w:rPr>
          <w:rFonts w:ascii="黑体" w:hAnsi="黑体" w:eastAsia="黑体"/>
          <w:sz w:val="32"/>
        </w:rPr>
        <w:t>二、收入决算情况说明</w:t>
      </w:r>
    </w:p>
    <w:p w14:paraId="1BD5D9AF">
      <w:pPr>
        <w:spacing w:line="580" w:lineRule="exact"/>
        <w:ind w:firstLine="640"/>
        <w:jc w:val="both"/>
      </w:pPr>
      <w:r>
        <w:rPr>
          <w:rFonts w:ascii="仿宋_GB2312" w:hAnsi="仿宋_GB2312" w:eastAsia="仿宋_GB2312"/>
          <w:b/>
          <w:sz w:val="32"/>
        </w:rPr>
        <w:t>本年收入20,021.95万元，</w:t>
      </w:r>
      <w:r>
        <w:rPr>
          <w:rFonts w:ascii="仿宋_GB2312" w:hAnsi="仿宋_GB2312" w:eastAsia="仿宋_GB2312"/>
          <w:b w:val="0"/>
          <w:sz w:val="32"/>
        </w:rPr>
        <w:t>其中：财政拨款收入18,286.29万元，占91.33%；上级补助收入0.00万元，占0.00%；事业收入0.00万元，占0.00%；经营收入0.00万元，占0.00%；附属单位上缴收入0.00万元，占0.00%；其他收入1,735.66万元，占8.67%。</w:t>
      </w:r>
    </w:p>
    <w:p w14:paraId="7BE2A43A">
      <w:pPr>
        <w:spacing w:line="640" w:lineRule="exact"/>
        <w:ind w:firstLine="640"/>
        <w:jc w:val="both"/>
        <w:outlineLvl w:val="2"/>
      </w:pPr>
      <w:r>
        <w:rPr>
          <w:rFonts w:ascii="黑体" w:hAnsi="黑体" w:eastAsia="黑体"/>
          <w:sz w:val="32"/>
        </w:rPr>
        <w:t>三、支出决算情况说明</w:t>
      </w:r>
    </w:p>
    <w:p w14:paraId="1F3F4123">
      <w:pPr>
        <w:spacing w:line="580" w:lineRule="exact"/>
        <w:ind w:firstLine="640"/>
        <w:jc w:val="both"/>
      </w:pPr>
      <w:r>
        <w:rPr>
          <w:rFonts w:ascii="仿宋_GB2312" w:hAnsi="仿宋_GB2312" w:eastAsia="仿宋_GB2312"/>
          <w:b/>
          <w:sz w:val="32"/>
        </w:rPr>
        <w:t>本年支出20,021.95万元，</w:t>
      </w:r>
      <w:r>
        <w:rPr>
          <w:rFonts w:ascii="仿宋_GB2312" w:hAnsi="仿宋_GB2312" w:eastAsia="仿宋_GB2312"/>
          <w:b w:val="0"/>
          <w:sz w:val="32"/>
        </w:rPr>
        <w:t>其中：基本支出270.00万元，占1.35%；项目支出19,751.95万元，占98.65%；上缴上级支出0.00万元，占0.00%；经营支出0.00万元，占0.00%；对附属单位补助支出0.00万元，占0.00%。</w:t>
      </w:r>
    </w:p>
    <w:p w14:paraId="614F4885">
      <w:pPr>
        <w:spacing w:line="640" w:lineRule="exact"/>
        <w:ind w:firstLine="640"/>
        <w:jc w:val="both"/>
        <w:outlineLvl w:val="2"/>
      </w:pPr>
      <w:r>
        <w:rPr>
          <w:rFonts w:ascii="黑体" w:hAnsi="黑体" w:eastAsia="黑体"/>
          <w:sz w:val="32"/>
        </w:rPr>
        <w:t>四、财政拨款收入支出决算总体情况说明</w:t>
      </w:r>
    </w:p>
    <w:p w14:paraId="02953205">
      <w:pPr>
        <w:spacing w:line="580" w:lineRule="exact"/>
        <w:ind w:firstLine="640"/>
        <w:jc w:val="both"/>
      </w:pPr>
      <w:r>
        <w:rPr>
          <w:rFonts w:ascii="仿宋_GB2312" w:hAnsi="仿宋_GB2312" w:eastAsia="仿宋_GB2312"/>
          <w:b/>
          <w:sz w:val="32"/>
        </w:rPr>
        <w:t>2024年度财政拨款收入总计18,286.29万元，</w:t>
      </w:r>
      <w:r>
        <w:rPr>
          <w:rFonts w:ascii="仿宋_GB2312" w:hAnsi="仿宋_GB2312" w:eastAsia="仿宋_GB2312"/>
          <w:b w:val="0"/>
          <w:sz w:val="32"/>
        </w:rPr>
        <w:t>其中：年初财政拨款结转和结余0.00万元，本年财政拨款收入18,286.29万元。</w:t>
      </w:r>
      <w:r>
        <w:rPr>
          <w:rFonts w:ascii="仿宋_GB2312" w:hAnsi="仿宋_GB2312" w:eastAsia="仿宋_GB2312"/>
          <w:b/>
          <w:sz w:val="32"/>
        </w:rPr>
        <w:t>财政拨款支出总计18,286.29万元，</w:t>
      </w:r>
      <w:r>
        <w:rPr>
          <w:rFonts w:ascii="仿宋_GB2312" w:hAnsi="仿宋_GB2312" w:eastAsia="仿宋_GB2312"/>
          <w:b w:val="0"/>
          <w:sz w:val="32"/>
        </w:rPr>
        <w:t>其中：年末财政拨款结转和结余0.00万元，本年财政拨款支出18,286.29万元。</w:t>
      </w:r>
    </w:p>
    <w:p w14:paraId="22FBF7C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增加7,626.75万元，增长71.55%，主要原因是：本年增加项目用地租赁及项目用地租赁违约金、招商引资项目业务专项经费、岳普湖高标准厂房建设项目等项目。</w:t>
      </w:r>
      <w:r>
        <w:rPr>
          <w:rFonts w:ascii="仿宋_GB2312" w:hAnsi="仿宋_GB2312" w:eastAsia="仿宋_GB2312"/>
          <w:b/>
          <w:sz w:val="32"/>
        </w:rPr>
        <w:t>与年初预算相比，</w:t>
      </w:r>
      <w:r>
        <w:rPr>
          <w:rFonts w:ascii="仿宋_GB2312" w:hAnsi="仿宋_GB2312" w:eastAsia="仿宋_GB2312"/>
          <w:b w:val="0"/>
          <w:sz w:val="32"/>
        </w:rPr>
        <w:t>年初预算数4,180.27万元，决算数18,286.29万元，预决算差异率337.44%，主要原因是：年中追</w:t>
      </w:r>
      <w:r>
        <w:rPr>
          <w:rFonts w:hint="eastAsia" w:ascii="仿宋_GB2312" w:hAnsi="仿宋_GB2312" w:eastAsia="仿宋_GB2312"/>
          <w:b w:val="0"/>
          <w:sz w:val="32"/>
          <w:lang w:eastAsia="zh-CN"/>
        </w:rPr>
        <w:t>加项</w:t>
      </w:r>
      <w:r>
        <w:rPr>
          <w:rFonts w:ascii="仿宋_GB2312" w:hAnsi="仿宋_GB2312" w:eastAsia="仿宋_GB2312"/>
          <w:b w:val="0"/>
          <w:sz w:val="32"/>
        </w:rPr>
        <w:t>目用地租赁及项目用地租赁违约金、岳普湖高标准厂房建设项目，导致预决算存在差异。</w:t>
      </w:r>
    </w:p>
    <w:p w14:paraId="74D4A2B5">
      <w:pPr>
        <w:spacing w:line="640" w:lineRule="exact"/>
        <w:ind w:firstLine="640"/>
        <w:jc w:val="both"/>
        <w:outlineLvl w:val="2"/>
      </w:pPr>
      <w:r>
        <w:rPr>
          <w:rFonts w:ascii="黑体" w:hAnsi="黑体" w:eastAsia="黑体"/>
          <w:sz w:val="32"/>
        </w:rPr>
        <w:t>五、一般公共预算财政拨款支出决算情况说明</w:t>
      </w:r>
    </w:p>
    <w:p w14:paraId="51AD6EC8">
      <w:pPr>
        <w:spacing w:line="640" w:lineRule="exact"/>
        <w:ind w:firstLine="640"/>
        <w:jc w:val="both"/>
        <w:outlineLvl w:val="3"/>
      </w:pPr>
      <w:r>
        <w:rPr>
          <w:rFonts w:ascii="楷体_GB2312" w:hAnsi="楷体_GB2312" w:eastAsia="楷体_GB2312"/>
          <w:b/>
          <w:sz w:val="32"/>
        </w:rPr>
        <w:t>（一）一般公共预算财政拨款支出决算总体情况</w:t>
      </w:r>
    </w:p>
    <w:p w14:paraId="085EFB72">
      <w:pPr>
        <w:spacing w:line="580" w:lineRule="exact"/>
        <w:ind w:firstLine="640"/>
        <w:jc w:val="both"/>
      </w:pPr>
      <w:r>
        <w:rPr>
          <w:rFonts w:ascii="仿宋_GB2312" w:hAnsi="仿宋_GB2312" w:eastAsia="仿宋_GB2312"/>
          <w:b/>
          <w:sz w:val="32"/>
        </w:rPr>
        <w:t>2024年度一般公共预算财政拨款支出4,906.92万元，</w:t>
      </w:r>
      <w:r>
        <w:rPr>
          <w:rFonts w:ascii="仿宋_GB2312" w:hAnsi="仿宋_GB2312" w:eastAsia="仿宋_GB2312"/>
          <w:b w:val="0"/>
          <w:sz w:val="32"/>
        </w:rPr>
        <w:t>占本年支出合计的24.51%。</w:t>
      </w:r>
      <w:r>
        <w:rPr>
          <w:rFonts w:ascii="仿宋_GB2312" w:hAnsi="仿宋_GB2312" w:eastAsia="仿宋_GB2312"/>
          <w:b/>
          <w:sz w:val="32"/>
        </w:rPr>
        <w:t>与上年相比，</w:t>
      </w:r>
      <w:r>
        <w:rPr>
          <w:rFonts w:ascii="仿宋_GB2312" w:hAnsi="仿宋_GB2312" w:eastAsia="仿宋_GB2312"/>
          <w:b w:val="0"/>
          <w:sz w:val="32"/>
        </w:rPr>
        <w:t>增加247.38万元，增长5.31%，主要原因是：本年增加项目用地租赁及项目用地租赁违约金、招商引资项目业务专项经费等项目。</w:t>
      </w:r>
      <w:r>
        <w:rPr>
          <w:rFonts w:ascii="仿宋_GB2312" w:hAnsi="仿宋_GB2312" w:eastAsia="仿宋_GB2312"/>
          <w:b/>
          <w:sz w:val="32"/>
        </w:rPr>
        <w:t>与年初预算相比,</w:t>
      </w:r>
      <w:r>
        <w:rPr>
          <w:rFonts w:ascii="仿宋_GB2312" w:hAnsi="仿宋_GB2312" w:eastAsia="仿宋_GB2312"/>
          <w:b w:val="0"/>
          <w:sz w:val="32"/>
        </w:rPr>
        <w:t>年初预算数4,180.27万元，决算数4,906.92万元，预决算差异率17.38%，主要原因是：年中追加项目用地租赁及项目用地租赁违约金项目，导致预决算存在差异。</w:t>
      </w:r>
    </w:p>
    <w:p w14:paraId="33573E43">
      <w:pPr>
        <w:spacing w:line="640" w:lineRule="exact"/>
        <w:ind w:firstLine="640"/>
        <w:jc w:val="both"/>
        <w:outlineLvl w:val="3"/>
      </w:pPr>
      <w:r>
        <w:rPr>
          <w:rFonts w:ascii="楷体_GB2312" w:hAnsi="楷体_GB2312" w:eastAsia="楷体_GB2312"/>
          <w:b/>
          <w:sz w:val="32"/>
        </w:rPr>
        <w:t>（二）一般公共预算财政拨款支出决算结构情况</w:t>
      </w:r>
    </w:p>
    <w:p w14:paraId="6885D50B">
      <w:pPr>
        <w:spacing w:line="580" w:lineRule="exact"/>
        <w:ind w:firstLine="640"/>
        <w:jc w:val="both"/>
      </w:pPr>
      <w:r>
        <w:rPr>
          <w:rFonts w:ascii="仿宋_GB2312" w:hAnsi="仿宋_GB2312" w:eastAsia="仿宋_GB2312"/>
          <w:b w:val="0"/>
          <w:sz w:val="32"/>
        </w:rPr>
        <w:t>1.一般公共服务支出(类)299.49万元,占6.10%。</w:t>
      </w:r>
    </w:p>
    <w:p w14:paraId="6025AECC">
      <w:pPr>
        <w:spacing w:line="580" w:lineRule="exact"/>
        <w:ind w:firstLine="640"/>
        <w:jc w:val="both"/>
      </w:pPr>
      <w:r>
        <w:rPr>
          <w:rFonts w:ascii="仿宋_GB2312" w:hAnsi="仿宋_GB2312" w:eastAsia="仿宋_GB2312"/>
          <w:b w:val="0"/>
          <w:sz w:val="32"/>
        </w:rPr>
        <w:t>2.社会保障和就业支出(类)53.73万元,占1.09%。</w:t>
      </w:r>
    </w:p>
    <w:p w14:paraId="082CE7E3">
      <w:pPr>
        <w:spacing w:line="580" w:lineRule="exact"/>
        <w:ind w:firstLine="640"/>
        <w:jc w:val="both"/>
      </w:pPr>
      <w:r>
        <w:rPr>
          <w:rFonts w:ascii="仿宋_GB2312" w:hAnsi="仿宋_GB2312" w:eastAsia="仿宋_GB2312"/>
          <w:b w:val="0"/>
          <w:sz w:val="32"/>
        </w:rPr>
        <w:t>3.卫生健康支出(类)10.26万元,占0.21%。</w:t>
      </w:r>
    </w:p>
    <w:p w14:paraId="39E30BC5">
      <w:pPr>
        <w:spacing w:line="580" w:lineRule="exact"/>
        <w:ind w:firstLine="640"/>
        <w:jc w:val="both"/>
      </w:pPr>
      <w:r>
        <w:rPr>
          <w:rFonts w:ascii="仿宋_GB2312" w:hAnsi="仿宋_GB2312" w:eastAsia="仿宋_GB2312"/>
          <w:b w:val="0"/>
          <w:sz w:val="32"/>
        </w:rPr>
        <w:t>4.农林水支出(类)41.31万元,占0.84%。</w:t>
      </w:r>
    </w:p>
    <w:p w14:paraId="5B782368">
      <w:pPr>
        <w:spacing w:line="580" w:lineRule="exact"/>
        <w:ind w:firstLine="640"/>
        <w:jc w:val="both"/>
      </w:pPr>
      <w:r>
        <w:rPr>
          <w:rFonts w:ascii="仿宋_GB2312" w:hAnsi="仿宋_GB2312" w:eastAsia="仿宋_GB2312"/>
          <w:b w:val="0"/>
          <w:sz w:val="32"/>
        </w:rPr>
        <w:t>5.交通运输支出(类)2.04万元,占0.04%。</w:t>
      </w:r>
    </w:p>
    <w:p w14:paraId="4C076B2F">
      <w:pPr>
        <w:spacing w:line="580" w:lineRule="exact"/>
        <w:ind w:firstLine="640"/>
        <w:jc w:val="both"/>
      </w:pPr>
      <w:r>
        <w:rPr>
          <w:rFonts w:ascii="仿宋_GB2312" w:hAnsi="仿宋_GB2312" w:eastAsia="仿宋_GB2312"/>
          <w:b w:val="0"/>
          <w:sz w:val="32"/>
        </w:rPr>
        <w:t>6.资源勘探工业信息等支出(类)4,481.55万元,占91.33%。</w:t>
      </w:r>
    </w:p>
    <w:p w14:paraId="6502886E">
      <w:pPr>
        <w:spacing w:line="580" w:lineRule="exact"/>
        <w:ind w:firstLine="640"/>
        <w:jc w:val="both"/>
      </w:pPr>
      <w:r>
        <w:rPr>
          <w:rFonts w:ascii="仿宋_GB2312" w:hAnsi="仿宋_GB2312" w:eastAsia="仿宋_GB2312"/>
          <w:b w:val="0"/>
          <w:sz w:val="32"/>
        </w:rPr>
        <w:t>7.商业服务业等支出(类)1.80万元,占0.04%。</w:t>
      </w:r>
    </w:p>
    <w:p w14:paraId="78117FCC">
      <w:pPr>
        <w:spacing w:line="580" w:lineRule="exact"/>
        <w:ind w:firstLine="640"/>
        <w:jc w:val="both"/>
      </w:pPr>
      <w:r>
        <w:rPr>
          <w:rFonts w:ascii="仿宋_GB2312" w:hAnsi="仿宋_GB2312" w:eastAsia="仿宋_GB2312"/>
          <w:b w:val="0"/>
          <w:sz w:val="32"/>
        </w:rPr>
        <w:t>8.住房保障支出(类)16.74万元,占0.34%。</w:t>
      </w:r>
    </w:p>
    <w:p w14:paraId="5EE227CB">
      <w:pPr>
        <w:spacing w:line="640" w:lineRule="exact"/>
        <w:ind w:firstLine="640"/>
        <w:jc w:val="both"/>
        <w:outlineLvl w:val="3"/>
      </w:pPr>
      <w:r>
        <w:rPr>
          <w:rFonts w:ascii="楷体_GB2312" w:hAnsi="楷体_GB2312" w:eastAsia="楷体_GB2312"/>
          <w:b/>
          <w:sz w:val="32"/>
        </w:rPr>
        <w:t>（三）一般公共预算财政拨款支出决算具体情况</w:t>
      </w:r>
    </w:p>
    <w:p w14:paraId="11BB1EE9">
      <w:pPr>
        <w:spacing w:line="580" w:lineRule="exact"/>
        <w:ind w:firstLine="640"/>
        <w:jc w:val="both"/>
      </w:pPr>
      <w:r>
        <w:rPr>
          <w:rFonts w:ascii="仿宋_GB2312" w:hAnsi="仿宋_GB2312" w:eastAsia="仿宋_GB2312"/>
          <w:b w:val="0"/>
          <w:sz w:val="32"/>
        </w:rPr>
        <w:t>1.一般公共服务支出(类)人大事务(款)行政运行(项):支出决算数为0.05万元，比上年决算增加0.05万元，增长100.00%,主要原因是：本年在职人员工资调增，导致相关人员经费较上年有所增加。</w:t>
      </w:r>
    </w:p>
    <w:p w14:paraId="43C59B4F">
      <w:pPr>
        <w:spacing w:line="580" w:lineRule="exact"/>
        <w:ind w:firstLine="640"/>
        <w:jc w:val="both"/>
      </w:pPr>
      <w:r>
        <w:rPr>
          <w:rFonts w:ascii="仿宋_GB2312" w:hAnsi="仿宋_GB2312" w:eastAsia="仿宋_GB2312"/>
          <w:b w:val="0"/>
          <w:sz w:val="32"/>
        </w:rPr>
        <w:t>2.一般公共服务支出(类)商贸事务(款)行政运行(项):支出决算数为189.22万元，比上年决算减少18.74万元，下降9.01%,主要原因是：本年机构改革，部分人员调整至商务局，在职人员减少，相应人员经费较上年减少。</w:t>
      </w:r>
    </w:p>
    <w:p w14:paraId="1B69B2FB">
      <w:pPr>
        <w:spacing w:line="580" w:lineRule="exact"/>
        <w:ind w:firstLine="640"/>
        <w:jc w:val="both"/>
      </w:pPr>
      <w:r>
        <w:rPr>
          <w:rFonts w:ascii="仿宋_GB2312" w:hAnsi="仿宋_GB2312" w:eastAsia="仿宋_GB2312"/>
          <w:b w:val="0"/>
          <w:sz w:val="32"/>
        </w:rPr>
        <w:t>3.一般公共服务支出(类)商贸事务(款)招商引资(项):支出决算数为31.99万元，比上年决算增加31.99万元，增长100.00%,主要原因是：本年度增加招商引资项目业务专项经费，相应经费较上年增加。</w:t>
      </w:r>
    </w:p>
    <w:p w14:paraId="6EBEA3A9">
      <w:pPr>
        <w:spacing w:line="580" w:lineRule="exact"/>
        <w:ind w:firstLine="640"/>
        <w:jc w:val="both"/>
      </w:pPr>
      <w:r>
        <w:rPr>
          <w:rFonts w:ascii="仿宋_GB2312" w:hAnsi="仿宋_GB2312" w:eastAsia="仿宋_GB2312"/>
          <w:b w:val="0"/>
          <w:sz w:val="32"/>
        </w:rPr>
        <w:t>4.一般公共服务支出(类)商贸事务(款)其他商贸事务支出(项):支出决算数为78.22万元，比上年决算减少216.31万元，下降73.44%,主要原因是：本年度</w:t>
      </w:r>
      <w:r>
        <w:rPr>
          <w:rFonts w:hint="eastAsia" w:ascii="仿宋_GB2312" w:hAnsi="仿宋_GB2312" w:eastAsia="仿宋_GB2312"/>
          <w:b w:val="0"/>
          <w:sz w:val="32"/>
          <w:lang w:val="en-US" w:eastAsia="zh-CN"/>
        </w:rPr>
        <w:t>减少</w:t>
      </w:r>
      <w:r>
        <w:rPr>
          <w:rFonts w:ascii="仿宋_GB2312" w:hAnsi="仿宋_GB2312" w:eastAsia="仿宋_GB2312"/>
          <w:b w:val="0"/>
          <w:sz w:val="32"/>
        </w:rPr>
        <w:t>用地租赁及项目用地租赁违约金</w:t>
      </w:r>
      <w:r>
        <w:rPr>
          <w:rFonts w:hint="eastAsia" w:ascii="仿宋_GB2312" w:hAnsi="仿宋_GB2312" w:eastAsia="仿宋_GB2312"/>
          <w:b w:val="0"/>
          <w:sz w:val="32"/>
          <w:lang w:val="en-US" w:eastAsia="zh-CN"/>
        </w:rPr>
        <w:t>项目资金</w:t>
      </w:r>
      <w:r>
        <w:rPr>
          <w:rFonts w:ascii="仿宋_GB2312" w:hAnsi="仿宋_GB2312" w:eastAsia="仿宋_GB2312"/>
          <w:b w:val="0"/>
          <w:sz w:val="32"/>
        </w:rPr>
        <w:t>，导致一般公共财政拨款减少。</w:t>
      </w:r>
    </w:p>
    <w:p w14:paraId="20692866">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5.社会保障和就业支出(类)行政事业单位养老支出(款)行政单位离退休(项):支出决算数为27.12万元，比上年决算增加4.69万元，增长20.91%,主要原因是：本年退休人员增加，退休费支出增加。</w:t>
      </w:r>
    </w:p>
    <w:p w14:paraId="7BB8ACA9">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20.68万元，比上年决算减少0.67万元，下降3.14%,主要原因是：本年在职人员减少，单位基本养老保险缴费较上年减少。</w:t>
      </w:r>
    </w:p>
    <w:p w14:paraId="2A9E1F08">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7.社会保障和就业支出(类)行政事业单位养老支出(款)机关事业单位职业年金缴费支出(项):支出决算数为5.93万元，比上年决算增加5.93万元，增长100.00%,主要原因是：本年新增退休人员，职业年金缴费支出增加。</w:t>
      </w:r>
    </w:p>
    <w:p w14:paraId="57EB5A12">
      <w:pPr>
        <w:spacing w:line="580" w:lineRule="exact"/>
        <w:ind w:firstLine="640"/>
        <w:jc w:val="both"/>
      </w:pPr>
      <w:r>
        <w:rPr>
          <w:rFonts w:ascii="仿宋_GB2312" w:hAnsi="仿宋_GB2312" w:eastAsia="仿宋_GB2312"/>
          <w:b w:val="0"/>
          <w:sz w:val="32"/>
        </w:rPr>
        <w:t>8.卫生健康支出(类)行政事业单位医疗(款)行政单位医疗(项):支出决算数为8.79万元，比上年决算减少8.84万元，下降50.14%,主要原因是：本年在职人员减少，行政单位医疗支出较上年减少。</w:t>
      </w:r>
    </w:p>
    <w:p w14:paraId="03ADF482">
      <w:pPr>
        <w:spacing w:line="580" w:lineRule="exact"/>
        <w:ind w:firstLine="640"/>
        <w:jc w:val="both"/>
      </w:pPr>
      <w:r>
        <w:rPr>
          <w:rFonts w:ascii="仿宋_GB2312" w:hAnsi="仿宋_GB2312" w:eastAsia="仿宋_GB2312"/>
          <w:b w:val="0"/>
          <w:sz w:val="32"/>
        </w:rPr>
        <w:t>9.卫生健康支出(类)行政事业单位医疗(款)公务员医疗补助(项):支出决算数为1.47万元，比上年决算减少2.49万元，下降62.88%,主要原因是：本年在职人员减少，公务员医疗补助较上年减少。</w:t>
      </w:r>
    </w:p>
    <w:p w14:paraId="7D9AD8CA">
      <w:pPr>
        <w:spacing w:line="580" w:lineRule="exact"/>
        <w:ind w:firstLine="640"/>
        <w:jc w:val="both"/>
      </w:pPr>
      <w:r>
        <w:rPr>
          <w:rFonts w:ascii="仿宋_GB2312" w:hAnsi="仿宋_GB2312" w:eastAsia="仿宋_GB2312"/>
          <w:b w:val="0"/>
          <w:sz w:val="32"/>
        </w:rPr>
        <w:t>10.农林水支出(类)其他农林水支出(款)其他农林水支出(项):支出决算数为41.31万元，比上年决算增加41.31万元，增长100.00%,主要原因是：本年度增加岳普湖县卫星工厂配套附属设施建设项目。</w:t>
      </w:r>
    </w:p>
    <w:p w14:paraId="51DEF6C2">
      <w:pPr>
        <w:spacing w:line="580" w:lineRule="exact"/>
        <w:ind w:firstLine="640"/>
        <w:jc w:val="both"/>
      </w:pPr>
      <w:r>
        <w:rPr>
          <w:rFonts w:ascii="仿宋_GB2312" w:hAnsi="仿宋_GB2312" w:eastAsia="仿宋_GB2312"/>
          <w:b w:val="0"/>
          <w:sz w:val="32"/>
        </w:rPr>
        <w:t>11.交通运输支出(类)邮政业支出(款)邮政普遍服务与特殊服务(项):支出决算数为2.04万元，比上年决算增加0.00万元，增长0.00%,主要原因是：2024年农牧区投递员专项财政补贴项目与上年一致无变化。</w:t>
      </w:r>
    </w:p>
    <w:p w14:paraId="146E104C">
      <w:pPr>
        <w:spacing w:line="580" w:lineRule="exact"/>
        <w:ind w:firstLine="640"/>
        <w:jc w:val="both"/>
      </w:pPr>
      <w:r>
        <w:rPr>
          <w:rFonts w:ascii="仿宋_GB2312" w:hAnsi="仿宋_GB2312" w:eastAsia="仿宋_GB2312"/>
          <w:b w:val="0"/>
          <w:sz w:val="32"/>
        </w:rPr>
        <w:t>12.资源勘探工业信息等支出(类)制造业(款)纺织业(项):支出决算数为4,402.51万元，比上年决算增加578.68万元，增长15.13%,主要原因是：本年度申请补贴企业及申请金额增加。</w:t>
      </w:r>
    </w:p>
    <w:p w14:paraId="4F9B6539">
      <w:pPr>
        <w:spacing w:line="580" w:lineRule="exact"/>
        <w:ind w:firstLine="640"/>
        <w:jc w:val="both"/>
      </w:pPr>
      <w:r>
        <w:rPr>
          <w:rFonts w:ascii="仿宋_GB2312" w:hAnsi="仿宋_GB2312" w:eastAsia="仿宋_GB2312"/>
          <w:b w:val="0"/>
          <w:sz w:val="32"/>
        </w:rPr>
        <w:t>13.资源勘探工业信息等支出(类)制造业(款)其他制造业支出(项):支出决算数为54.05万元，比上年决算增加31.24万元，增长136.96%,主要原因是：本年度增加劳动密集型产业专项建筑项目资金。</w:t>
      </w:r>
    </w:p>
    <w:p w14:paraId="1F0BF161">
      <w:pPr>
        <w:spacing w:line="580" w:lineRule="exact"/>
        <w:ind w:firstLine="640"/>
        <w:jc w:val="both"/>
      </w:pPr>
      <w:r>
        <w:rPr>
          <w:rFonts w:ascii="仿宋_GB2312" w:hAnsi="仿宋_GB2312" w:eastAsia="仿宋_GB2312"/>
          <w:b w:val="0"/>
          <w:sz w:val="32"/>
        </w:rPr>
        <w:t>14.资源勘探工业信息等支出(类)支持中小企业发展和管理支出(款)中小企业发展专项(项):支出决算数为25.00万元，比上年决算增加25.00万元，增长100.00%,主要原因是：本年度增加2024年自治区中小企业发展中心项目资金。</w:t>
      </w:r>
    </w:p>
    <w:p w14:paraId="06E85511">
      <w:pPr>
        <w:spacing w:line="580" w:lineRule="exact"/>
        <w:ind w:firstLine="640"/>
        <w:jc w:val="both"/>
      </w:pPr>
      <w:r>
        <w:rPr>
          <w:rFonts w:ascii="仿宋_GB2312" w:hAnsi="仿宋_GB2312" w:eastAsia="仿宋_GB2312"/>
          <w:b w:val="0"/>
          <w:sz w:val="32"/>
        </w:rPr>
        <w:t>15.商业服务业等支出(类)商业流通事务(款)其他商业流通事务支出(项):支出决算数为1.80万元，比上年决算减少78.85万元，下降97.77%,主要原因是：本年度减少电子商务进农村综合示范项目资金、服务业专项资金。</w:t>
      </w:r>
    </w:p>
    <w:p w14:paraId="4A4032FC">
      <w:pPr>
        <w:spacing w:line="580" w:lineRule="exact"/>
        <w:ind w:firstLine="640"/>
        <w:jc w:val="both"/>
      </w:pPr>
      <w:r>
        <w:rPr>
          <w:rFonts w:ascii="仿宋_GB2312" w:hAnsi="仿宋_GB2312" w:eastAsia="仿宋_GB2312"/>
          <w:b w:val="0"/>
          <w:sz w:val="32"/>
        </w:rPr>
        <w:t>16.商业服务业等支出(类)涉外发展服务支出(款)其他涉外发展服务支出(项):支出决算数为0.00万元，比上年决算减少145.40万元，下降100.00%,主要原因是：本年度无对外贸企业补助资金。</w:t>
      </w:r>
    </w:p>
    <w:p w14:paraId="130CBD17">
      <w:pPr>
        <w:spacing w:line="580" w:lineRule="exact"/>
        <w:ind w:firstLine="640"/>
        <w:jc w:val="both"/>
      </w:pPr>
      <w:r>
        <w:rPr>
          <w:rFonts w:ascii="仿宋_GB2312" w:hAnsi="仿宋_GB2312" w:eastAsia="仿宋_GB2312"/>
          <w:b w:val="0"/>
          <w:sz w:val="32"/>
        </w:rPr>
        <w:t>17.住房保障支出(类)住房改革支出(款)住房公积金(项):支出决算数为16.74万元，比上年决算减少0.21万元，下降1.24%,主要原因是：本年在职人员减少，住房公积金缴费较上年减少。</w:t>
      </w:r>
    </w:p>
    <w:p w14:paraId="18EF489D">
      <w:pPr>
        <w:spacing w:line="640" w:lineRule="exact"/>
        <w:ind w:firstLine="640"/>
        <w:jc w:val="both"/>
        <w:outlineLvl w:val="2"/>
      </w:pPr>
      <w:r>
        <w:rPr>
          <w:rFonts w:ascii="黑体" w:hAnsi="黑体" w:eastAsia="黑体"/>
          <w:sz w:val="32"/>
        </w:rPr>
        <w:t>六、一般公共预算财政拨款基本支出决算情况说明</w:t>
      </w:r>
    </w:p>
    <w:p w14:paraId="6EBB226E">
      <w:pPr>
        <w:spacing w:line="580" w:lineRule="exact"/>
        <w:ind w:firstLine="640"/>
        <w:jc w:val="both"/>
      </w:pPr>
      <w:r>
        <w:rPr>
          <w:rFonts w:ascii="仿宋_GB2312" w:hAnsi="仿宋_GB2312" w:eastAsia="仿宋_GB2312"/>
          <w:b w:val="0"/>
          <w:sz w:val="32"/>
        </w:rPr>
        <w:t>2024年度一般公共预算财政拨款基本支出270.00万元，其中：</w:t>
      </w:r>
      <w:r>
        <w:rPr>
          <w:rFonts w:ascii="仿宋_GB2312" w:hAnsi="仿宋_GB2312" w:eastAsia="仿宋_GB2312"/>
          <w:b/>
          <w:sz w:val="32"/>
        </w:rPr>
        <w:t>人员经费239.26万元，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w:t>
      </w:r>
    </w:p>
    <w:p w14:paraId="1B27C252">
      <w:pPr>
        <w:spacing w:line="580" w:lineRule="exact"/>
        <w:ind w:firstLine="640"/>
        <w:jc w:val="both"/>
      </w:pPr>
      <w:r>
        <w:rPr>
          <w:rFonts w:ascii="仿宋_GB2312" w:hAnsi="仿宋_GB2312" w:eastAsia="仿宋_GB2312"/>
          <w:b/>
          <w:sz w:val="32"/>
        </w:rPr>
        <w:t>公用经费30.74万元，</w:t>
      </w:r>
      <w:r>
        <w:rPr>
          <w:rFonts w:ascii="仿宋_GB2312" w:hAnsi="仿宋_GB2312" w:eastAsia="仿宋_GB2312"/>
          <w:b w:val="0"/>
          <w:sz w:val="32"/>
        </w:rPr>
        <w:t>包括：办公费、印刷费、水费、邮电费、取暖费、物业管理费、差旅费、维修（护）费、公务用车运行维护费、公务用车购置。</w:t>
      </w:r>
    </w:p>
    <w:p w14:paraId="35004A43">
      <w:pPr>
        <w:spacing w:line="640" w:lineRule="exact"/>
        <w:ind w:firstLine="640"/>
        <w:jc w:val="both"/>
        <w:outlineLvl w:val="2"/>
      </w:pPr>
      <w:r>
        <w:rPr>
          <w:rFonts w:ascii="黑体" w:hAnsi="黑体" w:eastAsia="黑体"/>
          <w:sz w:val="32"/>
        </w:rPr>
        <w:t>七、政府性基金预算财政拨款收入支出决算情况说明</w:t>
      </w:r>
    </w:p>
    <w:p w14:paraId="6E0DD099">
      <w:pPr>
        <w:spacing w:line="580" w:lineRule="exact"/>
        <w:ind w:firstLine="640"/>
        <w:jc w:val="both"/>
      </w:pPr>
      <w:r>
        <w:rPr>
          <w:rFonts w:ascii="仿宋_GB2312" w:hAnsi="仿宋_GB2312" w:eastAsia="仿宋_GB2312"/>
          <w:b/>
          <w:sz w:val="32"/>
        </w:rPr>
        <w:t>2024年度政府性基金预算财政拨款收入总计13,379.37万元，</w:t>
      </w:r>
      <w:r>
        <w:rPr>
          <w:rFonts w:ascii="仿宋_GB2312" w:hAnsi="仿宋_GB2312" w:eastAsia="仿宋_GB2312"/>
          <w:b w:val="0"/>
          <w:sz w:val="32"/>
        </w:rPr>
        <w:t>其中：年初结转和结余0.00万元，本年收入13,379.37万元。</w:t>
      </w:r>
      <w:r>
        <w:rPr>
          <w:rFonts w:ascii="仿宋_GB2312" w:hAnsi="仿宋_GB2312" w:eastAsia="仿宋_GB2312"/>
          <w:b/>
          <w:sz w:val="32"/>
        </w:rPr>
        <w:t>政府性基金预算财政拨款支出总计13,379.37万元，</w:t>
      </w:r>
      <w:r>
        <w:rPr>
          <w:rFonts w:ascii="仿宋_GB2312" w:hAnsi="仿宋_GB2312" w:eastAsia="仿宋_GB2312"/>
          <w:b w:val="0"/>
          <w:sz w:val="32"/>
        </w:rPr>
        <w:t>其中：年末结转和结余0.00万元，本年支出13,379.37万元。</w:t>
      </w:r>
    </w:p>
    <w:p w14:paraId="387FA2A1">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增加7,379.37万元，增长122.99%，主要原因是：本年度增加岳普湖高标准厂房建设项目。</w:t>
      </w:r>
      <w:r>
        <w:rPr>
          <w:rFonts w:ascii="仿宋_GB2312" w:hAnsi="仿宋_GB2312" w:eastAsia="仿宋_GB2312"/>
          <w:b/>
          <w:sz w:val="32"/>
        </w:rPr>
        <w:t>与年初预算相比，</w:t>
      </w:r>
      <w:r>
        <w:rPr>
          <w:rFonts w:ascii="仿宋_GB2312" w:hAnsi="仿宋_GB2312" w:eastAsia="仿宋_GB2312"/>
          <w:b w:val="0"/>
          <w:sz w:val="32"/>
        </w:rPr>
        <w:t>年初预算数0.00万元，决算数13,379.37万元，预决算差异率100.00%，主要原因是：年中追加岳普湖高标准厂房建设项目，导致预决算存在差异。</w:t>
      </w:r>
    </w:p>
    <w:p w14:paraId="306D378D">
      <w:pPr>
        <w:spacing w:line="580" w:lineRule="exact"/>
        <w:ind w:firstLine="640"/>
        <w:jc w:val="both"/>
      </w:pPr>
      <w:r>
        <w:rPr>
          <w:rFonts w:ascii="仿宋_GB2312" w:hAnsi="仿宋_GB2312" w:eastAsia="仿宋_GB2312"/>
          <w:b w:val="0"/>
          <w:sz w:val="32"/>
        </w:rPr>
        <w:t>政府性基金预算财政拨款支出13,379.37万元。</w:t>
      </w:r>
    </w:p>
    <w:p w14:paraId="630FB24A">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13,379.37万元，比上年决算增加7,379.37万元，增长122.99%,主要原因是：本年度增加岳普湖高标准厂房建设项目。</w:t>
      </w:r>
    </w:p>
    <w:p w14:paraId="0075FBAE">
      <w:pPr>
        <w:spacing w:line="640" w:lineRule="exact"/>
        <w:ind w:firstLine="640"/>
        <w:jc w:val="both"/>
        <w:outlineLvl w:val="2"/>
      </w:pPr>
      <w:r>
        <w:rPr>
          <w:rFonts w:ascii="黑体" w:hAnsi="黑体" w:eastAsia="黑体"/>
          <w:sz w:val="32"/>
        </w:rPr>
        <w:t>八、国有资本经营预算财政拨款收入支出决算情况说明</w:t>
      </w:r>
    </w:p>
    <w:p w14:paraId="0E2435A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3053DA9">
      <w:pPr>
        <w:spacing w:line="640" w:lineRule="exact"/>
        <w:ind w:firstLine="640"/>
        <w:jc w:val="both"/>
        <w:outlineLvl w:val="2"/>
      </w:pPr>
      <w:r>
        <w:rPr>
          <w:rFonts w:ascii="黑体" w:hAnsi="黑体" w:eastAsia="黑体"/>
          <w:sz w:val="32"/>
        </w:rPr>
        <w:t>九、财政拨款“三公”经费支出决算情况说明</w:t>
      </w:r>
    </w:p>
    <w:p w14:paraId="0A7D7FC4">
      <w:pPr>
        <w:spacing w:line="580" w:lineRule="exact"/>
        <w:ind w:firstLine="640"/>
        <w:jc w:val="both"/>
      </w:pPr>
      <w:r>
        <w:rPr>
          <w:rFonts w:ascii="仿宋_GB2312" w:hAnsi="仿宋_GB2312" w:eastAsia="仿宋_GB2312"/>
          <w:b/>
          <w:sz w:val="32"/>
        </w:rPr>
        <w:t>2024年度财政拨款“三公”经费支出18.74万元，</w:t>
      </w:r>
      <w:r>
        <w:rPr>
          <w:rFonts w:ascii="仿宋_GB2312" w:hAnsi="仿宋_GB2312" w:eastAsia="仿宋_GB2312"/>
          <w:b w:val="0"/>
          <w:sz w:val="32"/>
        </w:rPr>
        <w:t>比上年增加17.10万元，增长1,042.68%，主要原因是：本年新购入公务用车，公务用车购置费较上年增加。其中：因公出国（境）费支出0.00万元，占0.00%，比上年增加0.00万元，增长0.00%，主要原因是：2023年与2024年均未安排因公出国（境）费支出。公务用车购置及运行维护费支出18.74万元，占100.00%，比上年增加17.10万元，增长1,042.68%，主要原因是：本年新购入公务用车，公务用车购置费较上年增加。公务接待费支出0.00万元，占0.00%，比上年增加0.00万元，增长0.00%，主要原因是：2023年与2024年均未安排公务接待费支出。</w:t>
      </w:r>
    </w:p>
    <w:p w14:paraId="6E2814B0">
      <w:pPr>
        <w:spacing w:line="580" w:lineRule="exact"/>
        <w:ind w:firstLine="640"/>
        <w:jc w:val="both"/>
      </w:pPr>
      <w:r>
        <w:rPr>
          <w:rFonts w:ascii="仿宋_GB2312" w:hAnsi="仿宋_GB2312" w:eastAsia="仿宋_GB2312"/>
          <w:b/>
          <w:sz w:val="32"/>
        </w:rPr>
        <w:t>具体情况如下：</w:t>
      </w:r>
    </w:p>
    <w:p w14:paraId="0B63176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A5E7133">
      <w:pPr>
        <w:spacing w:line="580" w:lineRule="exact"/>
        <w:ind w:firstLine="640"/>
        <w:jc w:val="both"/>
      </w:pPr>
      <w:r>
        <w:rPr>
          <w:rFonts w:ascii="仿宋_GB2312" w:hAnsi="仿宋_GB2312" w:eastAsia="仿宋_GB2312"/>
          <w:b w:val="0"/>
          <w:sz w:val="32"/>
        </w:rPr>
        <w:t>公务用车购置及运行维护费18.74万元，其中：公务用车购置费16.98万元，公务用车运行维护费1.76万元。公务用车运行维护费开支内容包括车辆加油费、维修费、保险费、审车费、过路费等。公务用车购置数1辆，公务用车保有量1辆。国有资产占用情况中固定资产车辆2辆，与公务用车保有量差异原因是：本单位车辆</w:t>
      </w:r>
      <w:r>
        <w:rPr>
          <w:rFonts w:hint="eastAsia" w:ascii="仿宋_GB2312" w:hAnsi="仿宋_GB2312" w:eastAsia="仿宋_GB2312"/>
          <w:b w:val="0"/>
          <w:sz w:val="32"/>
          <w:lang w:val="en-US" w:eastAsia="zh-CN"/>
        </w:rPr>
        <w:t>给</w:t>
      </w:r>
      <w:r>
        <w:rPr>
          <w:rFonts w:ascii="仿宋_GB2312" w:hAnsi="仿宋_GB2312" w:eastAsia="仿宋_GB2312"/>
          <w:b w:val="0"/>
          <w:sz w:val="32"/>
        </w:rPr>
        <w:t>其他单位借用，车辆费用由使用单位支付。</w:t>
      </w:r>
    </w:p>
    <w:p w14:paraId="079086F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D0C3BF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18.74万元，决算数18.74万元，预决算差异率0.00%，主要原因是：严格按照预算执行，预决算无差异。其中：因公出国（境）费全年预算数0.00万元，决算数0.00万元，预决算差异率0.00%，主要原因是：本单位无因公出国（境）费。公务用车购置费全年预算数16.98万元，决算数16.98万元，预决算差异率0.00%，主要原因是：严格按照预算执行，预决算无差异。公务用车运行维护费全年预算数1.76万元，决算数1.76万元，预决算差异率0.00%，主要原因是：严格按照预算执行，预决算无差异。公务接待费全年预算数0.00万元，决算数0.00万元，预决算差异率0.00%，主要原因是：本单位无公务接待费。</w:t>
      </w:r>
    </w:p>
    <w:p w14:paraId="592CBEC4">
      <w:pPr>
        <w:spacing w:line="640" w:lineRule="exact"/>
        <w:ind w:firstLine="640"/>
        <w:jc w:val="both"/>
        <w:outlineLvl w:val="2"/>
      </w:pPr>
      <w:r>
        <w:rPr>
          <w:rFonts w:ascii="黑体" w:hAnsi="黑体" w:eastAsia="黑体"/>
          <w:sz w:val="32"/>
        </w:rPr>
        <w:t>十、其他重要事项的情况说明</w:t>
      </w:r>
    </w:p>
    <w:p w14:paraId="29E1A755">
      <w:pPr>
        <w:spacing w:line="640" w:lineRule="exact"/>
        <w:ind w:firstLine="640"/>
        <w:jc w:val="both"/>
        <w:outlineLvl w:val="3"/>
      </w:pPr>
      <w:r>
        <w:rPr>
          <w:rFonts w:ascii="楷体_GB2312" w:hAnsi="楷体_GB2312" w:eastAsia="楷体_GB2312"/>
          <w:b/>
          <w:sz w:val="32"/>
        </w:rPr>
        <w:t>（一）机关运行经费及公用经费支出情况</w:t>
      </w:r>
    </w:p>
    <w:p w14:paraId="4E45BCD9">
      <w:pPr>
        <w:spacing w:line="580" w:lineRule="exact"/>
        <w:ind w:firstLine="640"/>
        <w:jc w:val="both"/>
      </w:pPr>
      <w:r>
        <w:rPr>
          <w:rFonts w:ascii="仿宋_GB2312" w:hAnsi="仿宋_GB2312" w:eastAsia="仿宋_GB2312"/>
          <w:b w:val="0"/>
          <w:sz w:val="32"/>
        </w:rPr>
        <w:t>2024年度岳普湖县商务和工业信息化局（行政单位和参照公务员法管理事业单位）机关运行经费支出30.74万元，比上年增加25.87万元，增长531.21%，主要原因是：本年新购入公务用车，公务用车购置费较上年增加；本年更新、维护补充办公用品，导致机关运行经费较上年增加。</w:t>
      </w:r>
    </w:p>
    <w:p w14:paraId="43BA1861">
      <w:pPr>
        <w:spacing w:line="640" w:lineRule="exact"/>
        <w:ind w:firstLine="640"/>
        <w:jc w:val="both"/>
        <w:outlineLvl w:val="3"/>
      </w:pPr>
      <w:r>
        <w:rPr>
          <w:rFonts w:ascii="楷体_GB2312" w:hAnsi="楷体_GB2312" w:eastAsia="楷体_GB2312"/>
          <w:b/>
          <w:sz w:val="32"/>
        </w:rPr>
        <w:t>（二）政府采购情况</w:t>
      </w:r>
    </w:p>
    <w:p w14:paraId="1226B08C">
      <w:pPr>
        <w:spacing w:line="580" w:lineRule="exact"/>
        <w:ind w:firstLine="640"/>
        <w:jc w:val="both"/>
      </w:pPr>
      <w:r>
        <w:rPr>
          <w:rFonts w:ascii="仿宋_GB2312" w:hAnsi="仿宋_GB2312" w:eastAsia="仿宋_GB2312"/>
          <w:b w:val="0"/>
          <w:sz w:val="32"/>
        </w:rPr>
        <w:t>2024年度政府采购支出总额518.31万元，其中：政府采购货物支出16.98万元、政府采购工程支出0.00万元、政府采购服务支出501.33万元。</w:t>
      </w:r>
    </w:p>
    <w:p w14:paraId="28615BF4">
      <w:pPr>
        <w:spacing w:line="580" w:lineRule="exact"/>
        <w:ind w:firstLine="640"/>
        <w:jc w:val="both"/>
      </w:pPr>
      <w:r>
        <w:rPr>
          <w:rFonts w:ascii="仿宋_GB2312" w:hAnsi="仿宋_GB2312" w:eastAsia="仿宋_GB2312"/>
          <w:b w:val="0"/>
          <w:sz w:val="32"/>
        </w:rPr>
        <w:t>授予中小企业合同金额391.36万元，占政府采购支出总额的75.51%，其中：授予小微企业合同金额226.78万元，占政府采购支出总额的43.75%。</w:t>
      </w:r>
    </w:p>
    <w:p w14:paraId="1C53EC42">
      <w:pPr>
        <w:spacing w:line="640" w:lineRule="exact"/>
        <w:ind w:firstLine="640"/>
        <w:jc w:val="both"/>
        <w:outlineLvl w:val="3"/>
      </w:pPr>
      <w:r>
        <w:rPr>
          <w:rFonts w:ascii="楷体_GB2312" w:hAnsi="楷体_GB2312" w:eastAsia="楷体_GB2312"/>
          <w:b/>
          <w:sz w:val="32"/>
        </w:rPr>
        <w:t>（三）国有资产占用情况说明</w:t>
      </w:r>
    </w:p>
    <w:p w14:paraId="0F9B6DDB">
      <w:pPr>
        <w:spacing w:line="580" w:lineRule="exact"/>
        <w:ind w:firstLine="640"/>
        <w:jc w:val="both"/>
      </w:pPr>
      <w:r>
        <w:rPr>
          <w:rFonts w:ascii="仿宋_GB2312" w:hAnsi="仿宋_GB2312" w:eastAsia="仿宋_GB2312"/>
          <w:b w:val="0"/>
          <w:sz w:val="32"/>
        </w:rPr>
        <w:t>截至2024年12月31日，房屋136,244.47平方米，价值25,859.53万元。车辆2辆，价值17.18万元，其中：副部（省）级及以上领导用车0辆、主要负责人用车0辆、机要通信用车0辆、应急保障用车0辆、执法执勤用车0辆、特种专业技术用车0辆、离退休干部服务用车0辆、其他用车2辆，其他用车主要是：一般公务用车和单位业务用车。单价100万元（含）以上设备（不含车辆）0台（套）。</w:t>
      </w:r>
    </w:p>
    <w:p w14:paraId="3A7D432B">
      <w:pPr>
        <w:spacing w:line="640" w:lineRule="exact"/>
        <w:ind w:firstLine="640"/>
        <w:jc w:val="both"/>
        <w:outlineLvl w:val="2"/>
      </w:pPr>
      <w:r>
        <w:rPr>
          <w:rFonts w:ascii="黑体" w:hAnsi="黑体" w:eastAsia="黑体"/>
          <w:sz w:val="32"/>
        </w:rPr>
        <w:t>十一、预算绩效的情况说明</w:t>
      </w:r>
    </w:p>
    <w:p w14:paraId="4A811F1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20,021.95万元，实际执行总额20,021.95万元；预算绩效评价项目5个，全年预算数3,712.14万元，全年执行数3,712.14万元。预算绩效管理取得的成效：一是单位领导重视。单位领导高度重视，分管领导具体负责，专门成立项目绩效评价工作组，负责项目工作的指挥、协调，明确工作职责。充分发挥其职能作用。二是项目管理规范。</w:t>
      </w:r>
      <w:r>
        <w:rPr>
          <w:rFonts w:hint="eastAsia" w:ascii="仿宋_GB2312" w:hAnsi="仿宋_GB2312" w:eastAsia="仿宋_GB2312"/>
          <w:b w:val="0"/>
          <w:sz w:val="32"/>
          <w:lang w:eastAsia="zh-CN"/>
        </w:rPr>
        <w:t>本单位</w:t>
      </w:r>
      <w:r>
        <w:rPr>
          <w:rFonts w:ascii="仿宋_GB2312" w:hAnsi="仿宋_GB2312" w:eastAsia="仿宋_GB2312"/>
          <w:b w:val="0"/>
          <w:sz w:val="32"/>
        </w:rPr>
        <w:t>从多方面对本项目的实施进行研究和预算绩效管理，管理制度完善、责任落实到位，在项目实施过</w:t>
      </w:r>
      <w:r>
        <w:rPr>
          <w:rFonts w:hint="eastAsia" w:ascii="仿宋_GB2312" w:hAnsi="仿宋_GB2312" w:eastAsia="仿宋_GB2312"/>
          <w:b w:val="0"/>
          <w:sz w:val="32"/>
          <w:lang w:eastAsia="zh-CN"/>
        </w:rPr>
        <w:t>程中</w:t>
      </w:r>
      <w:r>
        <w:rPr>
          <w:rFonts w:ascii="仿宋_GB2312" w:hAnsi="仿宋_GB2312" w:eastAsia="仿宋_GB2312"/>
          <w:b w:val="0"/>
          <w:sz w:val="32"/>
        </w:rPr>
        <w:t>对项目的事前、事中、事后全方位、全过程进行分析、掌握，注重评价过程的记录和档案整理，为下一年度工作提供依据。三是注重沟通协调。对项目推进过程中出现的问题及时进行沟通、整改，尽早拿出解决措施加以应对，确保项目顺利进行，保障项目按期完成。四是强化监督考核。加大项目监管力度，切实让项</w:t>
      </w:r>
      <w:bookmarkStart w:id="0" w:name="_GoBack"/>
      <w:bookmarkEnd w:id="0"/>
      <w:r>
        <w:rPr>
          <w:rFonts w:ascii="仿宋_GB2312" w:hAnsi="仿宋_GB2312" w:eastAsia="仿宋_GB2312"/>
          <w:b w:val="0"/>
          <w:sz w:val="32"/>
        </w:rPr>
        <w:t>目受益人员享受到项目所产生的效益。安排项目分管领导，做好项目执行过程中的监督管理，跟踪考核机制的</w:t>
      </w:r>
      <w:r>
        <w:rPr>
          <w:rFonts w:hint="eastAsia" w:ascii="仿宋_GB2312" w:hAnsi="仿宋_GB2312" w:eastAsia="仿宋_GB2312"/>
          <w:b w:val="0"/>
          <w:sz w:val="32"/>
          <w:lang w:eastAsia="zh-CN"/>
        </w:rPr>
        <w:t>完善</w:t>
      </w:r>
      <w:r>
        <w:rPr>
          <w:rFonts w:ascii="仿宋_GB2312" w:hAnsi="仿宋_GB2312" w:eastAsia="仿宋_GB2312"/>
          <w:b w:val="0"/>
          <w:sz w:val="32"/>
        </w:rPr>
        <w:t>保障运行有效。结合项目完成情况和工作实施，强化考核验收。五是充分体现区位优势，培育和发展主导产业，加快产业发展步伐，壮大主导产业，提升产业集聚度，提升产业能级。发现的问题及原因：一是相关绩效管理方面专业知识的系统性学习有待加强。各项指标的设置要进一步优化、完善，主要在细化、量化上改进。在绩效自评过程中，由于部分人员缺乏相关绩效管理专业知识，自评工作还存在自我审定的局限性，影响评价质量。二是缺少带着问题去评价的意识，现场评价的工作量少，后续效益评价具体措施和方法不足。三是企业的扶持管理工作尚有不足。下一步改进措施：一是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二是进一步完善项目评价过程中有关数据和资料的收集、整理、审核及分析。项目启动时同步做好档案的归纳与整理，及时整理、收集、汇总，健全档案资料。项目后续管理有待进一步加强和跟踪。三是通过绩效管理，发现实施中存在漏洞，以后加强管理，及时掌握与之相关的各类信息，减少成本，使资金效益最大化。具体附整体支出绩效自评表，项目支出绩效自评表和评价报告。</w:t>
      </w:r>
    </w:p>
    <w:p w14:paraId="614ABDD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B914C29">
        <w:tblPrEx>
          <w:tblCellMar>
            <w:top w:w="0" w:type="dxa"/>
            <w:left w:w="108" w:type="dxa"/>
            <w:bottom w:w="0" w:type="dxa"/>
            <w:right w:w="108" w:type="dxa"/>
          </w:tblCellMar>
        </w:tblPrEx>
        <w:tc>
          <w:tcPr>
            <w:tcW w:w="8847" w:type="dxa"/>
            <w:gridSpan w:val="9"/>
            <w:vAlign w:val="center"/>
          </w:tcPr>
          <w:p w14:paraId="77D4304D">
            <w:pPr>
              <w:jc w:val="center"/>
            </w:pPr>
            <w:r>
              <w:rPr>
                <w:rFonts w:ascii="宋体" w:hAnsi="宋体" w:eastAsia="宋体"/>
                <w:sz w:val="24"/>
              </w:rPr>
              <w:t>单位整体支出绩效自评表</w:t>
            </w:r>
          </w:p>
        </w:tc>
      </w:tr>
      <w:tr w14:paraId="1C3E9EEE">
        <w:tblPrEx>
          <w:tblCellMar>
            <w:top w:w="0" w:type="dxa"/>
            <w:left w:w="108" w:type="dxa"/>
            <w:bottom w:w="0" w:type="dxa"/>
            <w:right w:w="108" w:type="dxa"/>
          </w:tblCellMar>
        </w:tblPrEx>
        <w:tc>
          <w:tcPr>
            <w:tcW w:w="8847" w:type="dxa"/>
            <w:gridSpan w:val="9"/>
            <w:vAlign w:val="center"/>
          </w:tcPr>
          <w:p w14:paraId="40914BCD">
            <w:pPr>
              <w:jc w:val="center"/>
            </w:pPr>
            <w:r>
              <w:rPr>
                <w:rFonts w:ascii="宋体" w:hAnsi="宋体" w:eastAsia="宋体"/>
                <w:sz w:val="24"/>
              </w:rPr>
              <w:t>（2024年度）</w:t>
            </w:r>
          </w:p>
        </w:tc>
      </w:tr>
      <w:tr w14:paraId="21D22FB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039C3">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A510ACE">
            <w:pPr>
              <w:jc w:val="center"/>
            </w:pPr>
            <w:r>
              <w:rPr>
                <w:rFonts w:ascii="宋体" w:hAnsi="宋体" w:eastAsia="宋体"/>
                <w:sz w:val="16"/>
              </w:rPr>
              <w:t>岳普湖县商务和工业信息化局</w:t>
            </w:r>
          </w:p>
        </w:tc>
      </w:tr>
      <w:tr w14:paraId="46EC9DA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075BF9">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B48FF">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51D6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2799C">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660425">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010B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2187E">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781ED">
            <w:pPr>
              <w:jc w:val="center"/>
            </w:pPr>
            <w:r>
              <w:rPr>
                <w:rFonts w:ascii="宋体" w:hAnsi="宋体" w:eastAsia="宋体"/>
                <w:sz w:val="16"/>
              </w:rPr>
              <w:t>得分</w:t>
            </w:r>
          </w:p>
        </w:tc>
      </w:tr>
      <w:tr w14:paraId="001F5C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7587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4A1EF5">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24D3D">
            <w:pPr>
              <w:jc w:val="center"/>
            </w:pPr>
            <w:r>
              <w:rPr>
                <w:rFonts w:ascii="宋体" w:hAnsi="宋体" w:eastAsia="宋体"/>
                <w:sz w:val="16"/>
              </w:rPr>
              <w:t>4,180.27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EBCE2">
            <w:pPr>
              <w:jc w:val="center"/>
            </w:pPr>
            <w:r>
              <w:rPr>
                <w:rFonts w:ascii="宋体" w:hAnsi="宋体" w:eastAsia="宋体"/>
                <w:sz w:val="16"/>
              </w:rPr>
              <w:t>20,021.95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863AD">
            <w:pPr>
              <w:jc w:val="center"/>
            </w:pPr>
            <w:r>
              <w:rPr>
                <w:rFonts w:ascii="宋体" w:hAnsi="宋体" w:eastAsia="宋体"/>
                <w:sz w:val="16"/>
              </w:rPr>
              <w:t>20,021.95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932D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86CE1E">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6AA2F">
            <w:pPr>
              <w:jc w:val="center"/>
            </w:pPr>
            <w:r>
              <w:rPr>
                <w:rFonts w:ascii="宋体" w:hAnsi="宋体" w:eastAsia="宋体"/>
                <w:sz w:val="16"/>
              </w:rPr>
              <w:t>10</w:t>
            </w:r>
          </w:p>
        </w:tc>
      </w:tr>
      <w:tr w14:paraId="2A8945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0A70E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54EF1">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631AB">
            <w:pPr>
              <w:jc w:val="center"/>
            </w:pPr>
            <w:r>
              <w:rPr>
                <w:rFonts w:ascii="宋体" w:hAnsi="宋体" w:eastAsia="宋体"/>
                <w:sz w:val="16"/>
              </w:rPr>
              <w:t>3,921.04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32086">
            <w:pPr>
              <w:jc w:val="center"/>
            </w:pPr>
            <w:r>
              <w:rPr>
                <w:rFonts w:ascii="宋体" w:hAnsi="宋体" w:eastAsia="宋体"/>
                <w:sz w:val="16"/>
              </w:rPr>
              <w:t>1,496.05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A6F94">
            <w:pPr>
              <w:jc w:val="center"/>
            </w:pPr>
            <w:r>
              <w:rPr>
                <w:rFonts w:ascii="宋体" w:hAnsi="宋体" w:eastAsia="宋体"/>
                <w:sz w:val="16"/>
              </w:rPr>
              <w:t>1,496.05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A09F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FCFEA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56633">
            <w:pPr>
              <w:jc w:val="center"/>
            </w:pPr>
            <w:r>
              <w:rPr>
                <w:rFonts w:ascii="宋体" w:hAnsi="宋体" w:eastAsia="宋体"/>
                <w:sz w:val="16"/>
              </w:rPr>
              <w:t>—</w:t>
            </w:r>
          </w:p>
        </w:tc>
      </w:tr>
      <w:tr w14:paraId="4BEA99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46ABD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6526D">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75274">
            <w:pPr>
              <w:jc w:val="center"/>
            </w:pPr>
            <w:r>
              <w:rPr>
                <w:rFonts w:ascii="宋体" w:hAnsi="宋体" w:eastAsia="宋体"/>
                <w:sz w:val="16"/>
              </w:rPr>
              <w:t>259.23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44252">
            <w:pPr>
              <w:jc w:val="center"/>
            </w:pPr>
            <w:r>
              <w:rPr>
                <w:rFonts w:ascii="宋体" w:hAnsi="宋体" w:eastAsia="宋体"/>
                <w:sz w:val="16"/>
              </w:rPr>
              <w:t>13,757.98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2C3E9">
            <w:pPr>
              <w:jc w:val="center"/>
            </w:pPr>
            <w:r>
              <w:rPr>
                <w:rFonts w:ascii="宋体" w:hAnsi="宋体" w:eastAsia="宋体"/>
                <w:sz w:val="16"/>
              </w:rPr>
              <w:t>13,757.98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F56A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978E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DBE6F">
            <w:pPr>
              <w:jc w:val="center"/>
            </w:pPr>
            <w:r>
              <w:rPr>
                <w:rFonts w:ascii="宋体" w:hAnsi="宋体" w:eastAsia="宋体"/>
                <w:sz w:val="16"/>
              </w:rPr>
              <w:t>—</w:t>
            </w:r>
          </w:p>
        </w:tc>
      </w:tr>
      <w:tr w14:paraId="2804E9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17855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EBADE">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3176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CF61F">
            <w:pPr>
              <w:jc w:val="center"/>
            </w:pPr>
            <w:r>
              <w:rPr>
                <w:rFonts w:ascii="宋体" w:hAnsi="宋体" w:eastAsia="宋体"/>
                <w:sz w:val="16"/>
              </w:rPr>
              <w:t>4,767.92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48ECD">
            <w:pPr>
              <w:jc w:val="center"/>
            </w:pPr>
            <w:r>
              <w:rPr>
                <w:rFonts w:ascii="宋体" w:hAnsi="宋体" w:eastAsia="宋体"/>
                <w:sz w:val="16"/>
              </w:rPr>
              <w:t>4,767.92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C1CC7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A696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A90C4">
            <w:pPr>
              <w:jc w:val="center"/>
            </w:pPr>
            <w:r>
              <w:rPr>
                <w:rFonts w:ascii="宋体" w:hAnsi="宋体" w:eastAsia="宋体"/>
                <w:sz w:val="16"/>
              </w:rPr>
              <w:t>—</w:t>
            </w:r>
          </w:p>
        </w:tc>
      </w:tr>
      <w:tr w14:paraId="500B86B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FD483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B7A51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B34BFC">
            <w:pPr>
              <w:jc w:val="center"/>
            </w:pPr>
            <w:r>
              <w:rPr>
                <w:rFonts w:ascii="宋体" w:hAnsi="宋体" w:eastAsia="宋体"/>
                <w:sz w:val="16"/>
              </w:rPr>
              <w:t>实际完成情况</w:t>
            </w:r>
          </w:p>
        </w:tc>
      </w:tr>
      <w:tr w14:paraId="00C83C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E3D62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C7140B8">
            <w:pPr>
              <w:jc w:val="both"/>
            </w:pPr>
            <w:r>
              <w:rPr>
                <w:rFonts w:ascii="宋体" w:hAnsi="宋体" w:eastAsia="宋体"/>
                <w:sz w:val="16"/>
              </w:rPr>
              <w:t>对10家纺织企业运费进行财政补贴，加强招</w:t>
            </w:r>
            <w:r>
              <w:rPr>
                <w:rFonts w:hint="eastAsia" w:ascii="宋体" w:hAnsi="宋体"/>
                <w:sz w:val="16"/>
                <w:lang w:eastAsia="zh-CN"/>
              </w:rPr>
              <w:t>商引资</w:t>
            </w:r>
            <w:r>
              <w:rPr>
                <w:rFonts w:ascii="宋体" w:hAnsi="宋体" w:eastAsia="宋体"/>
                <w:sz w:val="16"/>
              </w:rPr>
              <w:t>政策的对外宣传，大力开展县域公共品牌宣传推广。提升企业创新转型积极性，扩大工业产业发展空间，保障全县工业提质增效发展。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A0F6DE">
            <w:pPr>
              <w:jc w:val="both"/>
            </w:pPr>
            <w:r>
              <w:rPr>
                <w:rFonts w:ascii="宋体" w:hAnsi="宋体" w:eastAsia="宋体"/>
                <w:sz w:val="16"/>
              </w:rPr>
              <w:t>完成了对10家纺织企业的运费和电费的财政补贴工作。为充分发挥单位的履职效能，积极与相关部门合作，确保补贴资金及时、准确地发放到企业手中，有效减轻了企业的运营成本。同时，通过线上线下相结合的方式，拓宽了招</w:t>
            </w:r>
            <w:r>
              <w:rPr>
                <w:rFonts w:hint="eastAsia" w:ascii="宋体" w:hAnsi="宋体"/>
                <w:sz w:val="16"/>
                <w:lang w:eastAsia="zh-CN"/>
              </w:rPr>
              <w:t>商引资</w:t>
            </w:r>
            <w:r>
              <w:rPr>
                <w:rFonts w:ascii="宋体" w:hAnsi="宋体" w:eastAsia="宋体"/>
                <w:sz w:val="16"/>
              </w:rPr>
              <w:t>政策的传播渠道，提高政策的知晓率和覆盖面。在县域公共品牌的宣传推广上，挖掘本地特色，打造具有辨识度的品牌形象，增强县域经济的竞争力。积极引导企业加大研发投入，推动传统产业与新兴产业的融合发展，为产业的持续健康发展注入新的活力。</w:t>
            </w:r>
          </w:p>
        </w:tc>
      </w:tr>
      <w:tr w14:paraId="667A1FE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5C27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2105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F0A0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EB0F16">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14F5D">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D53A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09E8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69878">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2C649">
            <w:pPr>
              <w:jc w:val="center"/>
            </w:pPr>
            <w:r>
              <w:rPr>
                <w:rFonts w:ascii="宋体" w:hAnsi="宋体" w:eastAsia="宋体"/>
                <w:sz w:val="16"/>
              </w:rPr>
              <w:t>得分</w:t>
            </w:r>
          </w:p>
        </w:tc>
      </w:tr>
      <w:tr w14:paraId="140227E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DB537F">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1579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15387">
            <w:pPr>
              <w:jc w:val="center"/>
            </w:pPr>
            <w:r>
              <w:rPr>
                <w:rFonts w:ascii="宋体" w:hAnsi="宋体" w:eastAsia="宋体"/>
                <w:sz w:val="16"/>
              </w:rPr>
              <w:t>纺织企业财政补贴数量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C2FCD3">
            <w:pPr>
              <w:jc w:val="center"/>
            </w:pPr>
            <w:r>
              <w:rPr>
                <w:rFonts w:ascii="宋体" w:hAnsi="宋体" w:eastAsia="宋体"/>
                <w:sz w:val="16"/>
              </w:rPr>
              <w:t>&gt;=10家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47297">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CEB3D2">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64B1A">
            <w:pPr>
              <w:jc w:val="center"/>
            </w:pPr>
            <w:r>
              <w:rPr>
                <w:rFonts w:ascii="宋体" w:hAnsi="宋体" w:eastAsia="宋体"/>
                <w:sz w:val="16"/>
              </w:rPr>
              <w:t>10家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4D57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D74CB">
            <w:pPr>
              <w:jc w:val="center"/>
            </w:pPr>
            <w:r>
              <w:rPr>
                <w:rFonts w:ascii="宋体" w:hAnsi="宋体" w:eastAsia="宋体"/>
                <w:sz w:val="16"/>
              </w:rPr>
              <w:t>18</w:t>
            </w:r>
          </w:p>
        </w:tc>
      </w:tr>
      <w:tr w14:paraId="2C805E3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D6149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4EB21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5B4A65">
            <w:pPr>
              <w:jc w:val="center"/>
            </w:pPr>
            <w:r>
              <w:rPr>
                <w:rFonts w:ascii="宋体" w:hAnsi="宋体" w:eastAsia="宋体"/>
                <w:sz w:val="16"/>
              </w:rPr>
              <w:t>重点企业培育完成率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CE1D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44B8ED">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057F5">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18C1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8232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648DC">
            <w:pPr>
              <w:jc w:val="center"/>
            </w:pPr>
            <w:r>
              <w:rPr>
                <w:rFonts w:ascii="宋体" w:hAnsi="宋体" w:eastAsia="宋体"/>
                <w:sz w:val="16"/>
              </w:rPr>
              <w:t>18</w:t>
            </w:r>
          </w:p>
        </w:tc>
      </w:tr>
      <w:tr w14:paraId="45A878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98633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C16DB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AFDBF">
            <w:pPr>
              <w:jc w:val="center"/>
            </w:pPr>
            <w:r>
              <w:rPr>
                <w:rFonts w:ascii="宋体" w:hAnsi="宋体" w:eastAsia="宋体"/>
                <w:sz w:val="16"/>
              </w:rPr>
              <w:t>招商引资政策对外宣传率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A842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BA6F81">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44A3E">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DE03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EFEE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A31B0">
            <w:pPr>
              <w:jc w:val="center"/>
            </w:pPr>
            <w:r>
              <w:rPr>
                <w:rFonts w:ascii="宋体" w:hAnsi="宋体" w:eastAsia="宋体"/>
                <w:sz w:val="16"/>
              </w:rPr>
              <w:t>18</w:t>
            </w:r>
          </w:p>
        </w:tc>
      </w:tr>
      <w:tr w14:paraId="0ED929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B0290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C0E34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DA7107">
            <w:pPr>
              <w:jc w:val="center"/>
            </w:pPr>
            <w:r>
              <w:rPr>
                <w:rFonts w:ascii="宋体" w:hAnsi="宋体" w:eastAsia="宋体"/>
                <w:sz w:val="16"/>
              </w:rPr>
              <w:t>县域公共品牌宣传推广率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1048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EE45E">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BECDA">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0D09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D986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793AA">
            <w:pPr>
              <w:jc w:val="center"/>
            </w:pPr>
            <w:r>
              <w:rPr>
                <w:rFonts w:ascii="宋体" w:hAnsi="宋体" w:eastAsia="宋体"/>
                <w:sz w:val="16"/>
              </w:rPr>
              <w:t>18</w:t>
            </w:r>
          </w:p>
        </w:tc>
      </w:tr>
      <w:tr w14:paraId="013FDD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0A703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A77F3">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9DD6E">
            <w:pPr>
              <w:jc w:val="center"/>
            </w:pPr>
            <w:r>
              <w:rPr>
                <w:rFonts w:ascii="宋体" w:hAnsi="宋体" w:eastAsia="宋体"/>
                <w:sz w:val="16"/>
              </w:rPr>
              <w:t>财政扶持企业补贴按期完成率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1416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231A3">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A077E">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2B55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F5231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6D759">
            <w:pPr>
              <w:jc w:val="center"/>
            </w:pPr>
            <w:r>
              <w:rPr>
                <w:rFonts w:ascii="宋体" w:hAnsi="宋体" w:eastAsia="宋体"/>
                <w:sz w:val="16"/>
              </w:rPr>
              <w:t>18</w:t>
            </w:r>
          </w:p>
        </w:tc>
      </w:tr>
    </w:tbl>
    <w:p w14:paraId="0A25735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007E93C">
        <w:tblPrEx>
          <w:tblCellMar>
            <w:top w:w="0" w:type="dxa"/>
            <w:left w:w="108" w:type="dxa"/>
            <w:bottom w:w="0" w:type="dxa"/>
            <w:right w:w="108" w:type="dxa"/>
          </w:tblCellMar>
        </w:tblPrEx>
        <w:tc>
          <w:tcPr>
            <w:tcW w:w="8848" w:type="dxa"/>
            <w:gridSpan w:val="14"/>
            <w:vAlign w:val="center"/>
          </w:tcPr>
          <w:p w14:paraId="6C75ABFA">
            <w:pPr>
              <w:jc w:val="center"/>
            </w:pPr>
            <w:r>
              <w:rPr>
                <w:rFonts w:ascii="宋体" w:hAnsi="宋体" w:eastAsia="宋体"/>
                <w:sz w:val="24"/>
              </w:rPr>
              <w:t>项目支出绩效自评表</w:t>
            </w:r>
          </w:p>
        </w:tc>
      </w:tr>
      <w:tr w14:paraId="4133C1B4">
        <w:tblPrEx>
          <w:tblCellMar>
            <w:top w:w="0" w:type="dxa"/>
            <w:left w:w="108" w:type="dxa"/>
            <w:bottom w:w="0" w:type="dxa"/>
            <w:right w:w="108" w:type="dxa"/>
          </w:tblCellMar>
        </w:tblPrEx>
        <w:tc>
          <w:tcPr>
            <w:tcW w:w="8848" w:type="dxa"/>
            <w:gridSpan w:val="14"/>
            <w:vAlign w:val="center"/>
          </w:tcPr>
          <w:p w14:paraId="48A83463">
            <w:pPr>
              <w:jc w:val="center"/>
            </w:pPr>
            <w:r>
              <w:rPr>
                <w:rFonts w:ascii="宋体" w:hAnsi="宋体" w:eastAsia="宋体"/>
                <w:sz w:val="24"/>
              </w:rPr>
              <w:t>(2024年度)</w:t>
            </w:r>
          </w:p>
        </w:tc>
      </w:tr>
      <w:tr w14:paraId="1A38D3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38EA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EE030BF">
            <w:pPr>
              <w:jc w:val="center"/>
            </w:pPr>
            <w:r>
              <w:rPr>
                <w:rFonts w:ascii="宋体" w:hAnsi="宋体" w:eastAsia="宋体"/>
                <w:sz w:val="16"/>
              </w:rPr>
              <w:t>2024年农牧区投递员补贴项目</w:t>
            </w:r>
          </w:p>
        </w:tc>
      </w:tr>
      <w:tr w14:paraId="1F1D52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BA1C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32DD56">
            <w:pPr>
              <w:jc w:val="center"/>
            </w:pPr>
            <w:r>
              <w:rPr>
                <w:rFonts w:ascii="宋体" w:hAnsi="宋体" w:eastAsia="宋体"/>
                <w:sz w:val="16"/>
              </w:rPr>
              <w:t>岳普湖县商务和工业信息化局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AC4F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1745F0">
            <w:pPr>
              <w:jc w:val="center"/>
            </w:pPr>
            <w:r>
              <w:rPr>
                <w:rFonts w:ascii="宋体" w:hAnsi="宋体" w:eastAsia="宋体"/>
                <w:sz w:val="16"/>
              </w:rPr>
              <w:t>岳普湖县商务和工业信息化局</w:t>
            </w:r>
          </w:p>
        </w:tc>
      </w:tr>
      <w:tr w14:paraId="01B71D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12657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92BF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15D1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FAF7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B66C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C9EE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7606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90E58">
            <w:pPr>
              <w:jc w:val="center"/>
            </w:pPr>
            <w:r>
              <w:rPr>
                <w:rFonts w:ascii="宋体" w:hAnsi="宋体" w:eastAsia="宋体"/>
                <w:sz w:val="16"/>
              </w:rPr>
              <w:t>得分</w:t>
            </w:r>
          </w:p>
        </w:tc>
      </w:tr>
      <w:tr w14:paraId="29ED20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581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D8CA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D0EE4">
            <w:pPr>
              <w:jc w:val="center"/>
            </w:pPr>
            <w:r>
              <w:rPr>
                <w:rFonts w:ascii="宋体" w:hAnsi="宋体" w:eastAsia="宋体"/>
                <w:sz w:val="16"/>
              </w:rPr>
              <w:t>2.04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F6C63">
            <w:pPr>
              <w:jc w:val="center"/>
            </w:pPr>
            <w:r>
              <w:rPr>
                <w:rFonts w:ascii="宋体" w:hAnsi="宋体" w:eastAsia="宋体"/>
                <w:sz w:val="16"/>
              </w:rPr>
              <w:t>2.04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B8427">
            <w:pPr>
              <w:jc w:val="center"/>
            </w:pPr>
            <w:r>
              <w:rPr>
                <w:rFonts w:ascii="宋体" w:hAnsi="宋体" w:eastAsia="宋体"/>
                <w:sz w:val="16"/>
              </w:rPr>
              <w:t>2.04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5D9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5379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CA63B">
            <w:pPr>
              <w:jc w:val="center"/>
            </w:pPr>
            <w:r>
              <w:rPr>
                <w:rFonts w:ascii="宋体" w:hAnsi="宋体" w:eastAsia="宋体"/>
                <w:sz w:val="16"/>
              </w:rPr>
              <w:t>10.00分</w:t>
            </w:r>
          </w:p>
        </w:tc>
      </w:tr>
      <w:tr w14:paraId="3D08A3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A37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3DD2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E23AB">
            <w:pPr>
              <w:jc w:val="center"/>
            </w:pPr>
            <w:r>
              <w:rPr>
                <w:rFonts w:ascii="宋体" w:hAnsi="宋体" w:eastAsia="宋体"/>
                <w:sz w:val="16"/>
              </w:rPr>
              <w:t>2.04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87A71">
            <w:pPr>
              <w:jc w:val="center"/>
            </w:pPr>
            <w:r>
              <w:rPr>
                <w:rFonts w:ascii="宋体" w:hAnsi="宋体" w:eastAsia="宋体"/>
                <w:sz w:val="16"/>
              </w:rPr>
              <w:t>2.04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B0EE4">
            <w:pPr>
              <w:jc w:val="center"/>
            </w:pPr>
            <w:r>
              <w:rPr>
                <w:rFonts w:ascii="宋体" w:hAnsi="宋体" w:eastAsia="宋体"/>
                <w:sz w:val="16"/>
              </w:rPr>
              <w:t>2.04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9D5F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FEE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25075">
            <w:pPr>
              <w:jc w:val="center"/>
            </w:pPr>
            <w:r>
              <w:rPr>
                <w:rFonts w:ascii="宋体" w:hAnsi="宋体" w:eastAsia="宋体"/>
                <w:sz w:val="16"/>
              </w:rPr>
              <w:t>—</w:t>
            </w:r>
          </w:p>
        </w:tc>
      </w:tr>
      <w:tr w14:paraId="4B2959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8DA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7A40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61E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729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505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ED7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B34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BEB07">
            <w:pPr>
              <w:jc w:val="center"/>
            </w:pPr>
            <w:r>
              <w:rPr>
                <w:rFonts w:ascii="宋体" w:hAnsi="宋体" w:eastAsia="宋体"/>
                <w:sz w:val="16"/>
              </w:rPr>
              <w:t>—</w:t>
            </w:r>
          </w:p>
        </w:tc>
      </w:tr>
      <w:tr w14:paraId="320B4F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AA899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EB7D1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BF439E">
            <w:pPr>
              <w:jc w:val="center"/>
            </w:pPr>
            <w:r>
              <w:rPr>
                <w:rFonts w:ascii="宋体" w:hAnsi="宋体" w:eastAsia="宋体"/>
                <w:sz w:val="16"/>
              </w:rPr>
              <w:t>实际完成情况</w:t>
            </w:r>
          </w:p>
        </w:tc>
      </w:tr>
      <w:tr w14:paraId="3943AC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40E5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79E15E">
            <w:pPr>
              <w:jc w:val="both"/>
            </w:pPr>
            <w:r>
              <w:rPr>
                <w:rFonts w:ascii="宋体" w:hAnsi="宋体" w:eastAsia="宋体"/>
                <w:sz w:val="16"/>
              </w:rPr>
              <w:t>对17名投递员进行一次性补贴发放，人均年补贴标准为1200元。项目的实施提升通邮服务质量，提高普遍服务能力。改善邮政服务水平。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B58B17">
            <w:pPr>
              <w:jc w:val="both"/>
            </w:pPr>
            <w:r>
              <w:rPr>
                <w:rFonts w:ascii="宋体" w:hAnsi="宋体" w:eastAsia="宋体"/>
                <w:sz w:val="16"/>
              </w:rPr>
              <w:t>完成对17名投递员一次性补贴发放，预算执行率为100%。项目的实施提升通邮服务质量，提高普遍服务能力。改善邮政服务水平。农牧区投递员满意度100%。</w:t>
            </w:r>
          </w:p>
        </w:tc>
      </w:tr>
      <w:tr w14:paraId="2E803B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FE57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5027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C8F1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AF12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D372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9837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D59A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3959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B9BA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22B3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6062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8076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4874E">
            <w:pPr>
              <w:jc w:val="center"/>
            </w:pPr>
            <w:r>
              <w:rPr>
                <w:rFonts w:ascii="宋体" w:hAnsi="宋体" w:eastAsia="宋体"/>
                <w:sz w:val="16"/>
              </w:rPr>
              <w:t>偏差原因分析及改进措施</w:t>
            </w:r>
          </w:p>
        </w:tc>
      </w:tr>
      <w:tr w14:paraId="07558E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830DE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A757A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EAD5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78E11">
            <w:pPr>
              <w:jc w:val="center"/>
            </w:pPr>
            <w:r>
              <w:rPr>
                <w:rFonts w:ascii="宋体" w:hAnsi="宋体" w:eastAsia="宋体"/>
                <w:sz w:val="16"/>
              </w:rPr>
              <w:t>农牧区投递员补贴人数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6FD22">
            <w:pPr>
              <w:jc w:val="center"/>
            </w:pPr>
            <w:r>
              <w:rPr>
                <w:rFonts w:ascii="宋体" w:hAnsi="宋体" w:eastAsia="宋体"/>
                <w:sz w:val="16"/>
              </w:rPr>
              <w:t>&gt;=17人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796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2A8E9">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EFA7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2A9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B20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DBC72">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5C56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C5C6C">
            <w:pPr>
              <w:jc w:val="center"/>
            </w:pPr>
          </w:p>
        </w:tc>
      </w:tr>
      <w:tr w14:paraId="3B28F9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630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8456C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3910B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FA9A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370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B82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784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79C3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04F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B5F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76A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29D0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835C7">
            <w:pPr>
              <w:jc w:val="center"/>
            </w:pPr>
          </w:p>
        </w:tc>
      </w:tr>
      <w:tr w14:paraId="0AE409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59B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645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EFB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6B1E6">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F53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893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956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6C02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ABD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1FD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3DB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DB61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073E7">
            <w:pPr>
              <w:jc w:val="center"/>
            </w:pPr>
          </w:p>
        </w:tc>
      </w:tr>
      <w:tr w14:paraId="0ECCF4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8FE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383B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690FB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38819">
            <w:pPr>
              <w:jc w:val="center"/>
            </w:pPr>
            <w:r>
              <w:rPr>
                <w:rFonts w:ascii="宋体" w:hAnsi="宋体" w:eastAsia="宋体"/>
                <w:sz w:val="16"/>
              </w:rPr>
              <w:t>补贴按期发放率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DF9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935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08F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F36B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3C7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C4A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4EA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4270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0798D">
            <w:pPr>
              <w:jc w:val="center"/>
            </w:pPr>
          </w:p>
        </w:tc>
      </w:tr>
      <w:tr w14:paraId="49A948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E85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B4B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B17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5B028">
            <w:pPr>
              <w:jc w:val="center"/>
            </w:pPr>
            <w:r>
              <w:rPr>
                <w:rFonts w:ascii="宋体" w:hAnsi="宋体" w:eastAsia="宋体"/>
                <w:sz w:val="16"/>
              </w:rPr>
              <w:t>补贴发放完成时间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4EFE8">
            <w:pPr>
              <w:jc w:val="center"/>
            </w:pPr>
            <w:r>
              <w:rPr>
                <w:rFonts w:ascii="宋体" w:hAnsi="宋体" w:eastAsia="宋体"/>
                <w:sz w:val="16"/>
              </w:rPr>
              <w:t>=2024年8月25日前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F95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4A277">
            <w:pPr>
              <w:jc w:val="center"/>
            </w:pPr>
            <w:r>
              <w:rPr>
                <w:rFonts w:ascii="宋体" w:hAnsi="宋体" w:eastAsia="宋体"/>
                <w:sz w:val="16"/>
              </w:rPr>
              <w:t>2023年8月30日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EDB7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602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7C7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EF517">
            <w:pPr>
              <w:jc w:val="center"/>
            </w:pPr>
            <w:r>
              <w:rPr>
                <w:rFonts w:ascii="宋体" w:hAnsi="宋体" w:eastAsia="宋体"/>
                <w:sz w:val="16"/>
              </w:rPr>
              <w:t>=2024年5月30日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F145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89A42">
            <w:pPr>
              <w:jc w:val="center"/>
            </w:pPr>
          </w:p>
        </w:tc>
      </w:tr>
      <w:tr w14:paraId="6E2ABB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7D9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8E25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D116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F6BBC">
            <w:pPr>
              <w:jc w:val="center"/>
            </w:pPr>
            <w:r>
              <w:rPr>
                <w:rFonts w:ascii="宋体" w:hAnsi="宋体" w:eastAsia="宋体"/>
                <w:sz w:val="16"/>
              </w:rPr>
              <w:t>人均年补贴标准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7D633">
            <w:pPr>
              <w:jc w:val="center"/>
            </w:pPr>
            <w:r>
              <w:rPr>
                <w:rFonts w:ascii="宋体" w:hAnsi="宋体" w:eastAsia="宋体"/>
                <w:sz w:val="16"/>
              </w:rPr>
              <w:t>&lt;=1200元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A3B3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35526">
            <w:pPr>
              <w:jc w:val="center"/>
            </w:pPr>
            <w:r>
              <w:rPr>
                <w:rFonts w:ascii="宋体" w:hAnsi="宋体" w:eastAsia="宋体"/>
                <w:sz w:val="16"/>
              </w:rPr>
              <w:t>1200元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7DC1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BB2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182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10086">
            <w:pPr>
              <w:jc w:val="center"/>
            </w:pPr>
            <w:r>
              <w:rPr>
                <w:rFonts w:ascii="宋体" w:hAnsi="宋体" w:eastAsia="宋体"/>
                <w:sz w:val="16"/>
              </w:rPr>
              <w:t>=1200元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ED16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517A9">
            <w:pPr>
              <w:jc w:val="center"/>
            </w:pPr>
          </w:p>
        </w:tc>
      </w:tr>
      <w:tr w14:paraId="6712C1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F3C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EB60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5038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ECE85">
            <w:pPr>
              <w:jc w:val="center"/>
            </w:pPr>
            <w:r>
              <w:rPr>
                <w:rFonts w:ascii="宋体" w:hAnsi="宋体" w:eastAsia="宋体"/>
                <w:sz w:val="16"/>
              </w:rPr>
              <w:t>改善邮政服务水平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01F4D">
            <w:pPr>
              <w:jc w:val="center"/>
            </w:pPr>
            <w:r>
              <w:rPr>
                <w:rFonts w:ascii="宋体" w:hAnsi="宋体" w:eastAsia="宋体"/>
                <w:sz w:val="16"/>
              </w:rPr>
              <w:t>持续改善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3C6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D01A0">
            <w:pPr>
              <w:jc w:val="center"/>
            </w:pPr>
            <w:r>
              <w:rPr>
                <w:rFonts w:ascii="宋体" w:hAnsi="宋体" w:eastAsia="宋体"/>
                <w:sz w:val="16"/>
              </w:rPr>
              <w:t>持续改善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D628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1AC5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D9C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5F0B3">
            <w:pPr>
              <w:jc w:val="center"/>
            </w:pPr>
            <w:r>
              <w:rPr>
                <w:rFonts w:ascii="宋体" w:hAnsi="宋体" w:eastAsia="宋体"/>
                <w:sz w:val="16"/>
              </w:rPr>
              <w:t>持续改善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2ED6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10107">
            <w:pPr>
              <w:jc w:val="center"/>
            </w:pPr>
          </w:p>
        </w:tc>
      </w:tr>
      <w:tr w14:paraId="4AA63A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327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0350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8EE4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805A8">
            <w:pPr>
              <w:jc w:val="center"/>
            </w:pPr>
            <w:r>
              <w:rPr>
                <w:rFonts w:ascii="宋体" w:hAnsi="宋体" w:eastAsia="宋体"/>
                <w:sz w:val="16"/>
              </w:rPr>
              <w:t>农牧区投递员满意度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45FD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3B0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F34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2A9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FE4A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195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891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A59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DF8DC">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75FD580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1F809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870A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DCC08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16AB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C224D72"/>
        </w:tc>
      </w:tr>
    </w:tbl>
    <w:p w14:paraId="59AE2D3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3F4C5F8">
        <w:tblPrEx>
          <w:tblCellMar>
            <w:top w:w="0" w:type="dxa"/>
            <w:left w:w="108" w:type="dxa"/>
            <w:bottom w:w="0" w:type="dxa"/>
            <w:right w:w="108" w:type="dxa"/>
          </w:tblCellMar>
        </w:tblPrEx>
        <w:tc>
          <w:tcPr>
            <w:tcW w:w="8848" w:type="dxa"/>
            <w:gridSpan w:val="14"/>
            <w:vAlign w:val="center"/>
          </w:tcPr>
          <w:p w14:paraId="7BE02B92">
            <w:pPr>
              <w:jc w:val="center"/>
            </w:pPr>
            <w:r>
              <w:rPr>
                <w:rFonts w:ascii="宋体" w:hAnsi="宋体" w:eastAsia="宋体"/>
                <w:sz w:val="24"/>
              </w:rPr>
              <w:t>项目支出绩效自评表</w:t>
            </w:r>
          </w:p>
        </w:tc>
      </w:tr>
      <w:tr w14:paraId="32C1EAD6">
        <w:tblPrEx>
          <w:tblCellMar>
            <w:top w:w="0" w:type="dxa"/>
            <w:left w:w="108" w:type="dxa"/>
            <w:bottom w:w="0" w:type="dxa"/>
            <w:right w:w="108" w:type="dxa"/>
          </w:tblCellMar>
        </w:tblPrEx>
        <w:tc>
          <w:tcPr>
            <w:tcW w:w="8848" w:type="dxa"/>
            <w:gridSpan w:val="14"/>
            <w:vAlign w:val="center"/>
          </w:tcPr>
          <w:p w14:paraId="35DBE63E">
            <w:pPr>
              <w:jc w:val="center"/>
            </w:pPr>
            <w:r>
              <w:rPr>
                <w:rFonts w:ascii="宋体" w:hAnsi="宋体" w:eastAsia="宋体"/>
                <w:sz w:val="24"/>
              </w:rPr>
              <w:t>(2024年度)</w:t>
            </w:r>
          </w:p>
        </w:tc>
      </w:tr>
      <w:tr w14:paraId="0042FF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B043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2CB26B">
            <w:pPr>
              <w:jc w:val="center"/>
            </w:pPr>
            <w:r>
              <w:rPr>
                <w:rFonts w:ascii="宋体" w:hAnsi="宋体" w:eastAsia="宋体"/>
                <w:sz w:val="16"/>
              </w:rPr>
              <w:t>2024年自治区中小企业发展专项资金项目</w:t>
            </w:r>
          </w:p>
        </w:tc>
      </w:tr>
      <w:tr w14:paraId="65F9CD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C6DE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2B9152">
            <w:pPr>
              <w:jc w:val="center"/>
            </w:pPr>
            <w:r>
              <w:rPr>
                <w:rFonts w:ascii="宋体" w:hAnsi="宋体" w:eastAsia="宋体"/>
                <w:sz w:val="16"/>
              </w:rPr>
              <w:t>岳普湖县商务和工业信息化局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A50A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AB8AF8">
            <w:pPr>
              <w:jc w:val="center"/>
            </w:pPr>
            <w:r>
              <w:rPr>
                <w:rFonts w:ascii="宋体" w:hAnsi="宋体" w:eastAsia="宋体"/>
                <w:sz w:val="16"/>
              </w:rPr>
              <w:t>岳普湖县商务和工业信息化局</w:t>
            </w:r>
          </w:p>
        </w:tc>
      </w:tr>
      <w:tr w14:paraId="1DEF70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32A69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010B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CBD6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BD0D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73D2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4F9D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8F5B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E843D">
            <w:pPr>
              <w:jc w:val="center"/>
            </w:pPr>
            <w:r>
              <w:rPr>
                <w:rFonts w:ascii="宋体" w:hAnsi="宋体" w:eastAsia="宋体"/>
                <w:sz w:val="16"/>
              </w:rPr>
              <w:t>得分</w:t>
            </w:r>
          </w:p>
        </w:tc>
      </w:tr>
      <w:tr w14:paraId="2FA45A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C14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8D0F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A4A0C">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BA1DA">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3D28D">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51D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C675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F5843">
            <w:pPr>
              <w:jc w:val="center"/>
            </w:pPr>
            <w:r>
              <w:rPr>
                <w:rFonts w:ascii="宋体" w:hAnsi="宋体" w:eastAsia="宋体"/>
                <w:sz w:val="16"/>
              </w:rPr>
              <w:t>10.00分</w:t>
            </w:r>
          </w:p>
        </w:tc>
      </w:tr>
      <w:tr w14:paraId="7FCFF1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05F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E208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BCD31">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A21F7">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04486">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380A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E1E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138B6">
            <w:pPr>
              <w:jc w:val="center"/>
            </w:pPr>
            <w:r>
              <w:rPr>
                <w:rFonts w:ascii="宋体" w:hAnsi="宋体" w:eastAsia="宋体"/>
                <w:sz w:val="16"/>
              </w:rPr>
              <w:t>—</w:t>
            </w:r>
          </w:p>
        </w:tc>
      </w:tr>
      <w:tr w14:paraId="2F0FBE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10E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DB8E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080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F2C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BE4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FA68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AEA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5F026">
            <w:pPr>
              <w:jc w:val="center"/>
            </w:pPr>
            <w:r>
              <w:rPr>
                <w:rFonts w:ascii="宋体" w:hAnsi="宋体" w:eastAsia="宋体"/>
                <w:sz w:val="16"/>
              </w:rPr>
              <w:t>—</w:t>
            </w:r>
          </w:p>
        </w:tc>
      </w:tr>
      <w:tr w14:paraId="1E1C0C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33B3F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ABE4B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3F2B71">
            <w:pPr>
              <w:jc w:val="center"/>
            </w:pPr>
            <w:r>
              <w:rPr>
                <w:rFonts w:ascii="宋体" w:hAnsi="宋体" w:eastAsia="宋体"/>
                <w:sz w:val="16"/>
              </w:rPr>
              <w:t>实际完成情况</w:t>
            </w:r>
          </w:p>
        </w:tc>
      </w:tr>
      <w:tr w14:paraId="2E8FBD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50CB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DC0A79">
            <w:pPr>
              <w:jc w:val="both"/>
            </w:pPr>
            <w:r>
              <w:rPr>
                <w:rFonts w:ascii="宋体" w:hAnsi="宋体" w:eastAsia="宋体"/>
                <w:sz w:val="16"/>
              </w:rPr>
              <w:t>对岳普湖县1家中小企业进行补贴。项目的实施进一步降低企业成本，提高企业创新能力、拓展市场渠道，为专精特新企业的发展提供保障。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2F6C4D">
            <w:pPr>
              <w:jc w:val="both"/>
            </w:pPr>
            <w:r>
              <w:rPr>
                <w:rFonts w:ascii="宋体" w:hAnsi="宋体" w:eastAsia="宋体"/>
                <w:sz w:val="16"/>
              </w:rPr>
              <w:t>已完成对岳普湖县1家中小企业的补贴发放。预算执行率为100%。项目的实施进一步降低企业成本，提高企业创新能力、拓展市场渠道，为专精特新企业的发展提供保障。受益补助企业满意度为100%。</w:t>
            </w:r>
          </w:p>
        </w:tc>
      </w:tr>
      <w:tr w14:paraId="63C075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85B6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9D7D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C4DB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605A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C3ED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9D3E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EFB8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29DB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3D19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74CD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716E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7462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5F7BB">
            <w:pPr>
              <w:jc w:val="center"/>
            </w:pPr>
            <w:r>
              <w:rPr>
                <w:rFonts w:ascii="宋体" w:hAnsi="宋体" w:eastAsia="宋体"/>
                <w:sz w:val="16"/>
              </w:rPr>
              <w:t>偏差原因分析及改进措施</w:t>
            </w:r>
          </w:p>
        </w:tc>
      </w:tr>
      <w:tr w14:paraId="2C3424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2EAC3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7C28B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ED30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969FD">
            <w:pPr>
              <w:jc w:val="center"/>
            </w:pPr>
            <w:r>
              <w:rPr>
                <w:rFonts w:ascii="宋体" w:hAnsi="宋体" w:eastAsia="宋体"/>
                <w:sz w:val="16"/>
              </w:rPr>
              <w:t>补贴企业数量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B8975">
            <w:pPr>
              <w:jc w:val="center"/>
            </w:pPr>
            <w:r>
              <w:rPr>
                <w:rFonts w:ascii="宋体" w:hAnsi="宋体" w:eastAsia="宋体"/>
                <w:sz w:val="16"/>
              </w:rPr>
              <w:t>&gt;=1家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D0D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79C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D21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E68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BB4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250D1">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44A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F601D">
            <w:pPr>
              <w:jc w:val="center"/>
            </w:pPr>
          </w:p>
        </w:tc>
      </w:tr>
      <w:tr w14:paraId="5E4C71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349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CA6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E879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58ADE">
            <w:pPr>
              <w:jc w:val="center"/>
            </w:pPr>
            <w:r>
              <w:rPr>
                <w:rFonts w:ascii="宋体" w:hAnsi="宋体" w:eastAsia="宋体"/>
                <w:sz w:val="16"/>
              </w:rPr>
              <w:t>资金兑付合规率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5E5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D8A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F33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DB5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E3D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9FF9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FCB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E36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31187">
            <w:pPr>
              <w:jc w:val="center"/>
            </w:pPr>
          </w:p>
        </w:tc>
      </w:tr>
      <w:tr w14:paraId="6653BC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CDD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EC8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0390D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1301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9B5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76E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387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387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671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3DB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CE8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20B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5DBAF">
            <w:pPr>
              <w:jc w:val="center"/>
            </w:pPr>
          </w:p>
        </w:tc>
      </w:tr>
      <w:tr w14:paraId="342C34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4DD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92C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B38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C42F1">
            <w:pPr>
              <w:jc w:val="center"/>
            </w:pPr>
            <w:r>
              <w:rPr>
                <w:rFonts w:ascii="宋体" w:hAnsi="宋体" w:eastAsia="宋体"/>
                <w:sz w:val="16"/>
              </w:rPr>
              <w:t>补贴支付完成时间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D5FE6">
            <w:pPr>
              <w:jc w:val="center"/>
            </w:pPr>
            <w:r>
              <w:rPr>
                <w:rFonts w:ascii="宋体" w:hAnsi="宋体" w:eastAsia="宋体"/>
                <w:sz w:val="16"/>
              </w:rPr>
              <w:t>=2024年6月30日前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4EA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9CF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A54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9BAC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ACE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74F01">
            <w:pPr>
              <w:jc w:val="center"/>
            </w:pPr>
            <w:r>
              <w:rPr>
                <w:rFonts w:ascii="宋体" w:hAnsi="宋体" w:eastAsia="宋体"/>
                <w:sz w:val="16"/>
              </w:rPr>
              <w:t>=2024年6月27日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C46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07A62">
            <w:pPr>
              <w:jc w:val="center"/>
            </w:pPr>
          </w:p>
        </w:tc>
      </w:tr>
      <w:tr w14:paraId="404818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894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8F15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B572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ACEA0">
            <w:pPr>
              <w:jc w:val="center"/>
            </w:pPr>
            <w:r>
              <w:rPr>
                <w:rFonts w:ascii="宋体" w:hAnsi="宋体" w:eastAsia="宋体"/>
                <w:sz w:val="16"/>
              </w:rPr>
              <w:t>补贴企业预算控制数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87311">
            <w:pPr>
              <w:jc w:val="center"/>
            </w:pPr>
            <w:r>
              <w:rPr>
                <w:rFonts w:ascii="宋体" w:hAnsi="宋体" w:eastAsia="宋体"/>
                <w:sz w:val="16"/>
              </w:rPr>
              <w:t>&lt;=25万元/家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661F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4A1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ED65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838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533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89F64">
            <w:pPr>
              <w:jc w:val="center"/>
            </w:pPr>
            <w:r>
              <w:rPr>
                <w:rFonts w:ascii="宋体" w:hAnsi="宋体" w:eastAsia="宋体"/>
                <w:sz w:val="16"/>
              </w:rPr>
              <w:t>=25万元/家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9E7A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4E8AB">
            <w:pPr>
              <w:jc w:val="center"/>
            </w:pPr>
          </w:p>
        </w:tc>
      </w:tr>
      <w:tr w14:paraId="0A0AEE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CD6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15E3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1878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241ED">
            <w:pPr>
              <w:jc w:val="center"/>
            </w:pPr>
            <w:r>
              <w:rPr>
                <w:rFonts w:ascii="宋体" w:hAnsi="宋体" w:eastAsia="宋体"/>
                <w:sz w:val="16"/>
              </w:rPr>
              <w:t>进一步降低企业成本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94A97">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C22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956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E2C5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2C62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8E7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23F82">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CFC5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7F43D">
            <w:pPr>
              <w:jc w:val="center"/>
            </w:pPr>
          </w:p>
        </w:tc>
      </w:tr>
      <w:tr w14:paraId="2754DC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8D0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1B89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00B8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8AE68">
            <w:pPr>
              <w:jc w:val="center"/>
            </w:pPr>
            <w:r>
              <w:rPr>
                <w:rFonts w:ascii="宋体" w:hAnsi="宋体" w:eastAsia="宋体"/>
                <w:sz w:val="16"/>
              </w:rPr>
              <w:t>补助企业满意度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7001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156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56A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689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73DE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627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04B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ACB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64E7F">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5ADEF10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2DA77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4CDF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3CB7F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E1D2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A8270AA"/>
        </w:tc>
      </w:tr>
    </w:tbl>
    <w:p w14:paraId="55657862">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4"/>
        <w:gridCol w:w="625"/>
        <w:gridCol w:w="856"/>
        <w:gridCol w:w="614"/>
        <w:gridCol w:w="625"/>
        <w:gridCol w:w="621"/>
        <w:gridCol w:w="615"/>
        <w:gridCol w:w="614"/>
        <w:gridCol w:w="776"/>
        <w:gridCol w:w="632"/>
        <w:gridCol w:w="598"/>
        <w:gridCol w:w="631"/>
      </w:tblGrid>
      <w:tr w14:paraId="6054F72F">
        <w:tblPrEx>
          <w:tblCellMar>
            <w:top w:w="0" w:type="dxa"/>
            <w:left w:w="108" w:type="dxa"/>
            <w:bottom w:w="0" w:type="dxa"/>
            <w:right w:w="108" w:type="dxa"/>
          </w:tblCellMar>
        </w:tblPrEx>
        <w:tc>
          <w:tcPr>
            <w:tcW w:w="8848" w:type="dxa"/>
            <w:gridSpan w:val="14"/>
            <w:vAlign w:val="center"/>
          </w:tcPr>
          <w:p w14:paraId="20330E20">
            <w:pPr>
              <w:jc w:val="center"/>
            </w:pPr>
            <w:r>
              <w:rPr>
                <w:rFonts w:ascii="宋体" w:hAnsi="宋体" w:eastAsia="宋体"/>
                <w:sz w:val="24"/>
              </w:rPr>
              <w:t>项目支出绩效自评表</w:t>
            </w:r>
          </w:p>
        </w:tc>
      </w:tr>
      <w:tr w14:paraId="3A9A2C44">
        <w:tblPrEx>
          <w:tblCellMar>
            <w:top w:w="0" w:type="dxa"/>
            <w:left w:w="108" w:type="dxa"/>
            <w:bottom w:w="0" w:type="dxa"/>
            <w:right w:w="108" w:type="dxa"/>
          </w:tblCellMar>
        </w:tblPrEx>
        <w:tc>
          <w:tcPr>
            <w:tcW w:w="8848" w:type="dxa"/>
            <w:gridSpan w:val="14"/>
            <w:vAlign w:val="center"/>
          </w:tcPr>
          <w:p w14:paraId="40B4F183">
            <w:pPr>
              <w:jc w:val="center"/>
            </w:pPr>
            <w:r>
              <w:rPr>
                <w:rFonts w:ascii="宋体" w:hAnsi="宋体" w:eastAsia="宋体"/>
                <w:sz w:val="24"/>
              </w:rPr>
              <w:t>(2024年度)</w:t>
            </w:r>
          </w:p>
        </w:tc>
      </w:tr>
      <w:tr w14:paraId="5EE904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B931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436FD8">
            <w:pPr>
              <w:jc w:val="center"/>
            </w:pPr>
            <w:r>
              <w:rPr>
                <w:rFonts w:ascii="宋体" w:hAnsi="宋体" w:eastAsia="宋体"/>
                <w:sz w:val="16"/>
              </w:rPr>
              <w:t>2024年自治区纺织服装专项资金项目</w:t>
            </w:r>
          </w:p>
        </w:tc>
      </w:tr>
      <w:tr w14:paraId="48FE03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31CA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650D16">
            <w:pPr>
              <w:jc w:val="center"/>
            </w:pPr>
            <w:r>
              <w:rPr>
                <w:rFonts w:ascii="宋体" w:hAnsi="宋体" w:eastAsia="宋体"/>
                <w:sz w:val="16"/>
              </w:rPr>
              <w:t>岳普湖县商务和工业信息化局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C60E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DC23FE">
            <w:pPr>
              <w:jc w:val="center"/>
            </w:pPr>
            <w:r>
              <w:rPr>
                <w:rFonts w:ascii="宋体" w:hAnsi="宋体" w:eastAsia="宋体"/>
                <w:sz w:val="16"/>
              </w:rPr>
              <w:t>岳普湖县商务和工业信息化局</w:t>
            </w:r>
          </w:p>
        </w:tc>
      </w:tr>
      <w:tr w14:paraId="617609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86A74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B1C1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DB0C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959F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8BC6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37B3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991C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FE467">
            <w:pPr>
              <w:jc w:val="center"/>
            </w:pPr>
            <w:r>
              <w:rPr>
                <w:rFonts w:ascii="宋体" w:hAnsi="宋体" w:eastAsia="宋体"/>
                <w:sz w:val="16"/>
              </w:rPr>
              <w:t>得分</w:t>
            </w:r>
          </w:p>
        </w:tc>
      </w:tr>
      <w:tr w14:paraId="24A115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8E4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4EC9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DDCC9">
            <w:pPr>
              <w:jc w:val="center"/>
            </w:pPr>
            <w:r>
              <w:rPr>
                <w:rFonts w:ascii="宋体" w:hAnsi="宋体" w:eastAsia="宋体"/>
                <w:sz w:val="16"/>
              </w:rPr>
              <w:t>602.66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894DA">
            <w:pPr>
              <w:jc w:val="center"/>
            </w:pPr>
            <w:r>
              <w:rPr>
                <w:rFonts w:ascii="宋体" w:hAnsi="宋体" w:eastAsia="宋体"/>
                <w:sz w:val="16"/>
              </w:rPr>
              <w:t>1,305.87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3EA01">
            <w:pPr>
              <w:jc w:val="center"/>
            </w:pPr>
            <w:r>
              <w:rPr>
                <w:rFonts w:ascii="宋体" w:hAnsi="宋体" w:eastAsia="宋体"/>
                <w:sz w:val="16"/>
              </w:rPr>
              <w:t>1,305.87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B0F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AD26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38F1A">
            <w:pPr>
              <w:jc w:val="center"/>
            </w:pPr>
            <w:r>
              <w:rPr>
                <w:rFonts w:ascii="宋体" w:hAnsi="宋体" w:eastAsia="宋体"/>
                <w:sz w:val="16"/>
              </w:rPr>
              <w:t>10.00分</w:t>
            </w:r>
          </w:p>
        </w:tc>
      </w:tr>
      <w:tr w14:paraId="13F4F9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6D6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7317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32465">
            <w:pPr>
              <w:jc w:val="center"/>
            </w:pPr>
            <w:r>
              <w:rPr>
                <w:rFonts w:ascii="宋体" w:hAnsi="宋体" w:eastAsia="宋体"/>
                <w:sz w:val="16"/>
              </w:rPr>
              <w:t>602.66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C1181">
            <w:pPr>
              <w:jc w:val="center"/>
            </w:pPr>
            <w:r>
              <w:rPr>
                <w:rFonts w:ascii="宋体" w:hAnsi="宋体" w:eastAsia="宋体"/>
                <w:sz w:val="16"/>
              </w:rPr>
              <w:t>1,305.87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0D37F">
            <w:pPr>
              <w:jc w:val="center"/>
            </w:pPr>
            <w:r>
              <w:rPr>
                <w:rFonts w:ascii="宋体" w:hAnsi="宋体" w:eastAsia="宋体"/>
                <w:sz w:val="16"/>
              </w:rPr>
              <w:t>1,305.87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C2D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83C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84A49">
            <w:pPr>
              <w:jc w:val="center"/>
            </w:pPr>
            <w:r>
              <w:rPr>
                <w:rFonts w:ascii="宋体" w:hAnsi="宋体" w:eastAsia="宋体"/>
                <w:sz w:val="16"/>
              </w:rPr>
              <w:t>—</w:t>
            </w:r>
          </w:p>
        </w:tc>
      </w:tr>
      <w:tr w14:paraId="70DFD4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636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834F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EB9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6E8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C36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F397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AB1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A193B">
            <w:pPr>
              <w:jc w:val="center"/>
            </w:pPr>
            <w:r>
              <w:rPr>
                <w:rFonts w:ascii="宋体" w:hAnsi="宋体" w:eastAsia="宋体"/>
                <w:sz w:val="16"/>
              </w:rPr>
              <w:t>—</w:t>
            </w:r>
          </w:p>
        </w:tc>
      </w:tr>
      <w:tr w14:paraId="4162B0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8B9A7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EA742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406821">
            <w:pPr>
              <w:jc w:val="center"/>
            </w:pPr>
            <w:r>
              <w:rPr>
                <w:rFonts w:ascii="宋体" w:hAnsi="宋体" w:eastAsia="宋体"/>
                <w:sz w:val="16"/>
              </w:rPr>
              <w:t>实际完成情况</w:t>
            </w:r>
          </w:p>
        </w:tc>
      </w:tr>
      <w:tr w14:paraId="5584CB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AE32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EC0F5B">
            <w:pPr>
              <w:jc w:val="both"/>
            </w:pPr>
            <w:r>
              <w:rPr>
                <w:rFonts w:ascii="宋体" w:hAnsi="宋体" w:eastAsia="宋体"/>
                <w:sz w:val="16"/>
              </w:rPr>
              <w:t>对岳普湖县9家纺织服装企业进行运费、电费补贴。项目的实施进一步降低企业成本，减轻企业负担。保障纺织服装企业健康发展。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FFACF4">
            <w:pPr>
              <w:jc w:val="both"/>
            </w:pPr>
            <w:r>
              <w:rPr>
                <w:rFonts w:ascii="宋体" w:hAnsi="宋体" w:eastAsia="宋体"/>
                <w:sz w:val="16"/>
              </w:rPr>
              <w:t>已完成对岳普湖县9家纺织服装企业运费、电费的补贴发放。预算执行率为100%。项目的实施进一步降低企业成本，减轻企业负担。保障纺织服装企业健康发展。受益补助企业满意度为100%。</w:t>
            </w:r>
          </w:p>
        </w:tc>
      </w:tr>
      <w:tr w14:paraId="6E13CF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EEF6F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7B95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C030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F81B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595D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78A0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FBB3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8982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2A5A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D9DC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58A2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6BCD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B3639">
            <w:pPr>
              <w:jc w:val="center"/>
            </w:pPr>
            <w:r>
              <w:rPr>
                <w:rFonts w:ascii="宋体" w:hAnsi="宋体" w:eastAsia="宋体"/>
                <w:sz w:val="16"/>
              </w:rPr>
              <w:t>偏差原因分析及改进措施</w:t>
            </w:r>
          </w:p>
        </w:tc>
      </w:tr>
      <w:tr w14:paraId="3FBA5D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E152D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78131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EFFC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908D8">
            <w:pPr>
              <w:jc w:val="center"/>
            </w:pPr>
            <w:r>
              <w:rPr>
                <w:rFonts w:ascii="宋体" w:hAnsi="宋体" w:eastAsia="宋体"/>
                <w:sz w:val="16"/>
              </w:rPr>
              <w:t>补助企业数量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6806F">
            <w:pPr>
              <w:jc w:val="center"/>
            </w:pPr>
            <w:r>
              <w:rPr>
                <w:rFonts w:ascii="宋体" w:hAnsi="宋体" w:eastAsia="宋体"/>
                <w:sz w:val="16"/>
              </w:rPr>
              <w:t>&gt;=9家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6A6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C29E8">
            <w:pPr>
              <w:jc w:val="center"/>
            </w:pPr>
            <w:r>
              <w:rPr>
                <w:rFonts w:ascii="宋体" w:hAnsi="宋体" w:eastAsia="宋体"/>
                <w:sz w:val="16"/>
              </w:rPr>
              <w:t>8家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6C5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ECF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560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86F9F">
            <w:pPr>
              <w:jc w:val="center"/>
            </w:pPr>
            <w:r>
              <w:rPr>
                <w:rFonts w:ascii="宋体" w:hAnsi="宋体" w:eastAsia="宋体"/>
                <w:sz w:val="16"/>
              </w:rPr>
              <w:t>=9家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9B9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00649">
            <w:pPr>
              <w:jc w:val="center"/>
            </w:pPr>
          </w:p>
        </w:tc>
      </w:tr>
      <w:tr w14:paraId="5925B2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E04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DB5A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C5C3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B3195">
            <w:pPr>
              <w:jc w:val="center"/>
            </w:pPr>
            <w:r>
              <w:rPr>
                <w:rFonts w:ascii="宋体" w:hAnsi="宋体" w:eastAsia="宋体"/>
                <w:sz w:val="16"/>
              </w:rPr>
              <w:t>资金兑付合规性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B1D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E49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F64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1DD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874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4FC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915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529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8105D">
            <w:pPr>
              <w:jc w:val="center"/>
            </w:pPr>
          </w:p>
        </w:tc>
      </w:tr>
      <w:tr w14:paraId="144877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2CE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C7FF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D9C2D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B75ED">
            <w:pPr>
              <w:jc w:val="center"/>
            </w:pPr>
            <w:r>
              <w:rPr>
                <w:rFonts w:ascii="宋体" w:hAnsi="宋体" w:eastAsia="宋体"/>
                <w:sz w:val="16"/>
              </w:rPr>
              <w:t>资金按期支付率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B3E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C74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511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801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5EA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4B92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51E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A15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5051B">
            <w:pPr>
              <w:jc w:val="center"/>
            </w:pPr>
          </w:p>
        </w:tc>
      </w:tr>
      <w:tr w14:paraId="315351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FFCF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208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6FB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E3E2F">
            <w:pPr>
              <w:jc w:val="center"/>
            </w:pPr>
            <w:r>
              <w:rPr>
                <w:rFonts w:ascii="宋体" w:hAnsi="宋体" w:eastAsia="宋体"/>
                <w:sz w:val="16"/>
              </w:rPr>
              <w:t>补贴发放完成时间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9B203">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ECB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821F8">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164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8298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EBE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8866D">
            <w:pPr>
              <w:jc w:val="center"/>
            </w:pPr>
            <w:r>
              <w:rPr>
                <w:rFonts w:ascii="宋体" w:hAnsi="宋体" w:eastAsia="宋体"/>
                <w:sz w:val="16"/>
              </w:rPr>
              <w:t>=2024年12月3日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1C0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66E16">
            <w:pPr>
              <w:jc w:val="center"/>
            </w:pPr>
          </w:p>
        </w:tc>
      </w:tr>
      <w:tr w14:paraId="0EFF25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B889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949F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D49A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7B0C2">
            <w:pPr>
              <w:jc w:val="center"/>
            </w:pPr>
            <w:r>
              <w:rPr>
                <w:rFonts w:ascii="宋体" w:hAnsi="宋体" w:eastAsia="宋体"/>
                <w:sz w:val="16"/>
              </w:rPr>
              <w:t>补助企业平均预算控制数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69EA5">
            <w:pPr>
              <w:jc w:val="center"/>
            </w:pPr>
            <w:r>
              <w:rPr>
                <w:rFonts w:ascii="宋体" w:hAnsi="宋体" w:eastAsia="宋体"/>
                <w:sz w:val="16"/>
              </w:rPr>
              <w:t>&lt;=145.09万元/家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BA25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B5D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F479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CBE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892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2A9DF">
            <w:pPr>
              <w:jc w:val="center"/>
            </w:pPr>
            <w:r>
              <w:rPr>
                <w:rFonts w:ascii="宋体" w:hAnsi="宋体" w:eastAsia="宋体"/>
                <w:sz w:val="16"/>
              </w:rPr>
              <w:t>=145.09万元/家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6278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3F947">
            <w:pPr>
              <w:jc w:val="center"/>
            </w:pPr>
          </w:p>
        </w:tc>
      </w:tr>
      <w:tr w14:paraId="055C75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EE2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E06A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43F9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66AE6">
            <w:pPr>
              <w:jc w:val="center"/>
            </w:pPr>
            <w:r>
              <w:rPr>
                <w:rFonts w:ascii="宋体" w:hAnsi="宋体" w:eastAsia="宋体"/>
                <w:sz w:val="16"/>
              </w:rPr>
              <w:t>降低企业成本，减轻企业负担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4CBAC">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6E5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080AA">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D4B3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2A67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6C9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05093">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4F37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7956C">
            <w:pPr>
              <w:jc w:val="center"/>
            </w:pPr>
          </w:p>
        </w:tc>
      </w:tr>
      <w:tr w14:paraId="4580EF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8C4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DAD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BE8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12C3E">
            <w:pPr>
              <w:jc w:val="center"/>
            </w:pPr>
            <w:r>
              <w:rPr>
                <w:rFonts w:ascii="宋体" w:hAnsi="宋体" w:eastAsia="宋体"/>
                <w:sz w:val="16"/>
              </w:rPr>
              <w:t>补助企业满意度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E3CC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9C9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F2C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1AE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BC78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D6A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430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7CE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4C881">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74CB0BC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BEC14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CA63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F83C5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0704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BF9A3E0"/>
        </w:tc>
      </w:tr>
    </w:tbl>
    <w:p w14:paraId="7029C6E1">
      <w:r>
        <w:br w:type="page"/>
      </w:r>
    </w:p>
    <w:tbl>
      <w:tblPr>
        <w:tblStyle w:val="9"/>
        <w:tblW w:w="0" w:type="auto"/>
        <w:tblInd w:w="0" w:type="dxa"/>
        <w:tblLayout w:type="autofit"/>
        <w:tblCellMar>
          <w:top w:w="0" w:type="dxa"/>
          <w:left w:w="108" w:type="dxa"/>
          <w:bottom w:w="0" w:type="dxa"/>
          <w:right w:w="108" w:type="dxa"/>
        </w:tblCellMar>
      </w:tblPr>
      <w:tblGrid>
        <w:gridCol w:w="625"/>
        <w:gridCol w:w="615"/>
        <w:gridCol w:w="616"/>
        <w:gridCol w:w="616"/>
        <w:gridCol w:w="856"/>
        <w:gridCol w:w="620"/>
        <w:gridCol w:w="618"/>
        <w:gridCol w:w="622"/>
        <w:gridCol w:w="616"/>
        <w:gridCol w:w="616"/>
        <w:gridCol w:w="776"/>
        <w:gridCol w:w="632"/>
        <w:gridCol w:w="601"/>
        <w:gridCol w:w="631"/>
      </w:tblGrid>
      <w:tr w14:paraId="153A4361">
        <w:tblPrEx>
          <w:tblCellMar>
            <w:top w:w="0" w:type="dxa"/>
            <w:left w:w="108" w:type="dxa"/>
            <w:bottom w:w="0" w:type="dxa"/>
            <w:right w:w="108" w:type="dxa"/>
          </w:tblCellMar>
        </w:tblPrEx>
        <w:tc>
          <w:tcPr>
            <w:tcW w:w="8848" w:type="dxa"/>
            <w:gridSpan w:val="14"/>
            <w:vAlign w:val="center"/>
          </w:tcPr>
          <w:p w14:paraId="04FBE666">
            <w:pPr>
              <w:jc w:val="center"/>
            </w:pPr>
            <w:r>
              <w:rPr>
                <w:rFonts w:ascii="宋体" w:hAnsi="宋体" w:eastAsia="宋体"/>
                <w:sz w:val="24"/>
              </w:rPr>
              <w:t>项目支出绩效自评表</w:t>
            </w:r>
          </w:p>
        </w:tc>
      </w:tr>
      <w:tr w14:paraId="492CEB23">
        <w:tblPrEx>
          <w:tblCellMar>
            <w:top w:w="0" w:type="dxa"/>
            <w:left w:w="108" w:type="dxa"/>
            <w:bottom w:w="0" w:type="dxa"/>
            <w:right w:w="108" w:type="dxa"/>
          </w:tblCellMar>
        </w:tblPrEx>
        <w:tc>
          <w:tcPr>
            <w:tcW w:w="8848" w:type="dxa"/>
            <w:gridSpan w:val="14"/>
            <w:vAlign w:val="center"/>
          </w:tcPr>
          <w:p w14:paraId="6FEBEE6B">
            <w:pPr>
              <w:jc w:val="center"/>
            </w:pPr>
            <w:r>
              <w:rPr>
                <w:rFonts w:ascii="宋体" w:hAnsi="宋体" w:eastAsia="宋体"/>
                <w:sz w:val="24"/>
              </w:rPr>
              <w:t>(2024年度)</w:t>
            </w:r>
          </w:p>
        </w:tc>
      </w:tr>
      <w:tr w14:paraId="396D6B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3767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4753E7">
            <w:pPr>
              <w:jc w:val="center"/>
            </w:pPr>
            <w:r>
              <w:rPr>
                <w:rFonts w:ascii="宋体" w:hAnsi="宋体" w:eastAsia="宋体"/>
                <w:sz w:val="16"/>
              </w:rPr>
              <w:t>偿还欠款项目</w:t>
            </w:r>
          </w:p>
        </w:tc>
      </w:tr>
      <w:tr w14:paraId="1F3D1A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42BC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007521">
            <w:pPr>
              <w:jc w:val="center"/>
            </w:pPr>
            <w:r>
              <w:rPr>
                <w:rFonts w:ascii="宋体" w:hAnsi="宋体" w:eastAsia="宋体"/>
                <w:sz w:val="16"/>
              </w:rPr>
              <w:t>岳普湖县商务和工业信息化局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E589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965F9F">
            <w:pPr>
              <w:jc w:val="center"/>
            </w:pPr>
            <w:r>
              <w:rPr>
                <w:rFonts w:ascii="宋体" w:hAnsi="宋体" w:eastAsia="宋体"/>
                <w:sz w:val="16"/>
              </w:rPr>
              <w:t>岳普湖县商务和工业信息化局</w:t>
            </w:r>
          </w:p>
        </w:tc>
      </w:tr>
      <w:tr w14:paraId="01C492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BA598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7631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2D68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4439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6E24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AE35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2EE5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B2DFB">
            <w:pPr>
              <w:jc w:val="center"/>
            </w:pPr>
            <w:r>
              <w:rPr>
                <w:rFonts w:ascii="宋体" w:hAnsi="宋体" w:eastAsia="宋体"/>
                <w:sz w:val="16"/>
              </w:rPr>
              <w:t>得分</w:t>
            </w:r>
          </w:p>
        </w:tc>
      </w:tr>
      <w:tr w14:paraId="59A835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45F8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1B9B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9B772">
            <w:pPr>
              <w:jc w:val="center"/>
            </w:pPr>
            <w:r>
              <w:rPr>
                <w:rFonts w:ascii="宋体" w:hAnsi="宋体" w:eastAsia="宋体"/>
                <w:sz w:val="16"/>
              </w:rPr>
              <w:t>2,174.30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60955">
            <w:pPr>
              <w:jc w:val="center"/>
            </w:pPr>
            <w:r>
              <w:rPr>
                <w:rFonts w:ascii="宋体" w:hAnsi="宋体" w:eastAsia="宋体"/>
                <w:sz w:val="16"/>
              </w:rPr>
              <w:t>2,240.66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4457F">
            <w:pPr>
              <w:jc w:val="center"/>
            </w:pPr>
            <w:r>
              <w:rPr>
                <w:rFonts w:ascii="宋体" w:hAnsi="宋体" w:eastAsia="宋体"/>
                <w:sz w:val="16"/>
              </w:rPr>
              <w:t>2,240.66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52B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3A9A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1F0C9">
            <w:pPr>
              <w:jc w:val="center"/>
            </w:pPr>
            <w:r>
              <w:rPr>
                <w:rFonts w:ascii="宋体" w:hAnsi="宋体" w:eastAsia="宋体"/>
                <w:sz w:val="16"/>
              </w:rPr>
              <w:t>10.00分</w:t>
            </w:r>
          </w:p>
        </w:tc>
      </w:tr>
      <w:tr w14:paraId="500347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9C8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B369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FF9C9">
            <w:pPr>
              <w:jc w:val="center"/>
            </w:pPr>
            <w:r>
              <w:rPr>
                <w:rFonts w:ascii="宋体" w:hAnsi="宋体" w:eastAsia="宋体"/>
                <w:sz w:val="16"/>
              </w:rPr>
              <w:t>920.53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17FE0">
            <w:pPr>
              <w:jc w:val="center"/>
            </w:pPr>
            <w:r>
              <w:rPr>
                <w:rFonts w:ascii="宋体" w:hAnsi="宋体" w:eastAsia="宋体"/>
                <w:sz w:val="16"/>
              </w:rPr>
              <w:t>986.89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9E391">
            <w:pPr>
              <w:jc w:val="center"/>
            </w:pPr>
            <w:r>
              <w:rPr>
                <w:rFonts w:ascii="宋体" w:hAnsi="宋体" w:eastAsia="宋体"/>
                <w:sz w:val="16"/>
              </w:rPr>
              <w:t>986.89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CDBD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12E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2FBB2">
            <w:pPr>
              <w:jc w:val="center"/>
            </w:pPr>
            <w:r>
              <w:rPr>
                <w:rFonts w:ascii="宋体" w:hAnsi="宋体" w:eastAsia="宋体"/>
                <w:sz w:val="16"/>
              </w:rPr>
              <w:t>—</w:t>
            </w:r>
          </w:p>
        </w:tc>
      </w:tr>
      <w:tr w14:paraId="43AFB8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2A0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F246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924D1">
            <w:pPr>
              <w:jc w:val="center"/>
            </w:pPr>
            <w:r>
              <w:rPr>
                <w:rFonts w:ascii="宋体" w:hAnsi="宋体" w:eastAsia="宋体"/>
                <w:sz w:val="16"/>
              </w:rPr>
              <w:t>1,253.77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BE7B3">
            <w:pPr>
              <w:jc w:val="center"/>
            </w:pPr>
            <w:r>
              <w:rPr>
                <w:rFonts w:ascii="宋体" w:hAnsi="宋体" w:eastAsia="宋体"/>
                <w:sz w:val="16"/>
              </w:rPr>
              <w:t>1,253.77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AA3F3">
            <w:pPr>
              <w:jc w:val="center"/>
            </w:pPr>
            <w:r>
              <w:rPr>
                <w:rFonts w:ascii="宋体" w:hAnsi="宋体" w:eastAsia="宋体"/>
                <w:sz w:val="16"/>
              </w:rPr>
              <w:t>1,253.77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FA5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1E1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4F9EC">
            <w:pPr>
              <w:jc w:val="center"/>
            </w:pPr>
            <w:r>
              <w:rPr>
                <w:rFonts w:ascii="宋体" w:hAnsi="宋体" w:eastAsia="宋体"/>
                <w:sz w:val="16"/>
              </w:rPr>
              <w:t>—</w:t>
            </w:r>
          </w:p>
        </w:tc>
      </w:tr>
      <w:tr w14:paraId="26B6AA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B867D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77532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FED98C">
            <w:pPr>
              <w:jc w:val="center"/>
            </w:pPr>
            <w:r>
              <w:rPr>
                <w:rFonts w:ascii="宋体" w:hAnsi="宋体" w:eastAsia="宋体"/>
                <w:sz w:val="16"/>
              </w:rPr>
              <w:t>实际完成情况</w:t>
            </w:r>
          </w:p>
        </w:tc>
      </w:tr>
      <w:tr w14:paraId="4AC3C2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2874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F4F6A4">
            <w:pPr>
              <w:jc w:val="both"/>
            </w:pPr>
            <w:r>
              <w:rPr>
                <w:rFonts w:ascii="宋体" w:hAnsi="宋体" w:eastAsia="宋体"/>
                <w:sz w:val="16"/>
              </w:rPr>
              <w:t>项目主要用于支付前期5个项目的欠款，确保项目款项按期及时支付，提高政府部门的履约和服务能力，增强政府公信力。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2EF78E">
            <w:pPr>
              <w:jc w:val="both"/>
            </w:pPr>
            <w:r>
              <w:rPr>
                <w:rFonts w:ascii="宋体" w:hAnsi="宋体" w:eastAsia="宋体"/>
                <w:sz w:val="16"/>
              </w:rPr>
              <w:t>现阶段支付前期5个项目的欠款，确保项目款项按期及时支付，预算执行率为100%。项目的实施有效提高政府部门的履约和服务能力，增强政府公信力。</w:t>
            </w:r>
          </w:p>
        </w:tc>
      </w:tr>
      <w:tr w14:paraId="04E76B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E3FE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A24B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1288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6DFE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6989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D4A3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4ED4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D934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E56D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BC8F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0ABC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295B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7211D">
            <w:pPr>
              <w:jc w:val="center"/>
            </w:pPr>
            <w:r>
              <w:rPr>
                <w:rFonts w:ascii="宋体" w:hAnsi="宋体" w:eastAsia="宋体"/>
                <w:sz w:val="16"/>
              </w:rPr>
              <w:t>偏差原因分析及改进措施</w:t>
            </w:r>
          </w:p>
        </w:tc>
      </w:tr>
      <w:tr w14:paraId="6070E4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5F4B2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E91E9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CFB4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53811">
            <w:pPr>
              <w:jc w:val="center"/>
            </w:pPr>
            <w:r>
              <w:rPr>
                <w:rFonts w:ascii="宋体" w:hAnsi="宋体" w:eastAsia="宋体"/>
                <w:sz w:val="16"/>
              </w:rPr>
              <w:t>前期欠款项目个数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39964">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CE4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F98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9A48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983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3E6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84D99">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3CB1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3EDE0">
            <w:pPr>
              <w:jc w:val="center"/>
            </w:pPr>
          </w:p>
        </w:tc>
      </w:tr>
      <w:tr w14:paraId="2754D2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B0A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153B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AE54C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D81EC">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5F5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2F5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B0E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772D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B73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215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1D8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2B40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81979">
            <w:pPr>
              <w:jc w:val="center"/>
            </w:pPr>
          </w:p>
        </w:tc>
      </w:tr>
      <w:tr w14:paraId="3F0B2C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955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2C4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953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45999">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B1E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1F1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CB2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1B86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B2E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B43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CA9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DD42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5F41E">
            <w:pPr>
              <w:jc w:val="center"/>
            </w:pPr>
          </w:p>
        </w:tc>
      </w:tr>
      <w:tr w14:paraId="724A6F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280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789B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344BA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8FBA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22C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C7C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128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A093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962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C30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634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9032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A6475">
            <w:pPr>
              <w:jc w:val="center"/>
            </w:pPr>
          </w:p>
        </w:tc>
      </w:tr>
      <w:tr w14:paraId="23BD26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9887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462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AE2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37AAA">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E27C8">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1F3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6EC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4E2A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4834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F3A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30046">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9656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C7F2B">
            <w:pPr>
              <w:jc w:val="center"/>
            </w:pPr>
          </w:p>
        </w:tc>
      </w:tr>
      <w:tr w14:paraId="691964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03F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B708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DF1A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BA2D1">
            <w:pPr>
              <w:jc w:val="center"/>
            </w:pPr>
            <w:r>
              <w:rPr>
                <w:rFonts w:ascii="宋体" w:hAnsi="宋体" w:eastAsia="宋体"/>
                <w:sz w:val="16"/>
              </w:rPr>
              <w:t>偿还前期欠款平均预算控制数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2F473">
            <w:pPr>
              <w:jc w:val="center"/>
            </w:pPr>
            <w:r>
              <w:rPr>
                <w:rFonts w:ascii="宋体" w:hAnsi="宋体" w:eastAsia="宋体"/>
                <w:sz w:val="16"/>
              </w:rPr>
              <w:t>&lt;=448.13万元/个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F4A7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829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8BB9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79D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715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3857D">
            <w:pPr>
              <w:jc w:val="center"/>
            </w:pPr>
            <w:r>
              <w:rPr>
                <w:rFonts w:ascii="宋体" w:hAnsi="宋体" w:eastAsia="宋体"/>
                <w:sz w:val="16"/>
              </w:rPr>
              <w:t>=448.13万元/个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FC1F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B9983">
            <w:pPr>
              <w:jc w:val="center"/>
            </w:pPr>
          </w:p>
        </w:tc>
      </w:tr>
      <w:tr w14:paraId="7C0E9D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0E6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8BAA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C33C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B3BE3">
            <w:pPr>
              <w:jc w:val="center"/>
            </w:pPr>
            <w:r>
              <w:rPr>
                <w:rFonts w:ascii="宋体" w:hAnsi="宋体" w:eastAsia="宋体"/>
                <w:sz w:val="16"/>
              </w:rPr>
              <w:t>提高政府部门的履约和服务能力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CCDB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55A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32D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344CF">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0FED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4B0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91D1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A4802">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7CA6F">
            <w:pPr>
              <w:jc w:val="center"/>
            </w:pPr>
          </w:p>
        </w:tc>
      </w:tr>
      <w:tr w14:paraId="5D080C2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45E72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BB6E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D734F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86FD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F51F25C"/>
        </w:tc>
      </w:tr>
    </w:tbl>
    <w:p w14:paraId="4AF202E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C8253A5">
        <w:tblPrEx>
          <w:tblCellMar>
            <w:top w:w="0" w:type="dxa"/>
            <w:left w:w="108" w:type="dxa"/>
            <w:bottom w:w="0" w:type="dxa"/>
            <w:right w:w="108" w:type="dxa"/>
          </w:tblCellMar>
        </w:tblPrEx>
        <w:tc>
          <w:tcPr>
            <w:tcW w:w="8848" w:type="dxa"/>
            <w:gridSpan w:val="14"/>
            <w:vAlign w:val="center"/>
          </w:tcPr>
          <w:p w14:paraId="0ABAC3E5">
            <w:pPr>
              <w:jc w:val="center"/>
            </w:pPr>
            <w:r>
              <w:rPr>
                <w:rFonts w:ascii="宋体" w:hAnsi="宋体" w:eastAsia="宋体"/>
                <w:sz w:val="24"/>
              </w:rPr>
              <w:t>项目支出绩效自评表</w:t>
            </w:r>
          </w:p>
        </w:tc>
      </w:tr>
      <w:tr w14:paraId="282AAFE4">
        <w:tblPrEx>
          <w:tblCellMar>
            <w:top w:w="0" w:type="dxa"/>
            <w:left w:w="108" w:type="dxa"/>
            <w:bottom w:w="0" w:type="dxa"/>
            <w:right w:w="108" w:type="dxa"/>
          </w:tblCellMar>
        </w:tblPrEx>
        <w:tc>
          <w:tcPr>
            <w:tcW w:w="8848" w:type="dxa"/>
            <w:gridSpan w:val="14"/>
            <w:vAlign w:val="center"/>
          </w:tcPr>
          <w:p w14:paraId="7D1E2FD5">
            <w:pPr>
              <w:jc w:val="center"/>
            </w:pPr>
            <w:r>
              <w:rPr>
                <w:rFonts w:ascii="宋体" w:hAnsi="宋体" w:eastAsia="宋体"/>
                <w:sz w:val="24"/>
              </w:rPr>
              <w:t>(2024年度)</w:t>
            </w:r>
          </w:p>
        </w:tc>
      </w:tr>
      <w:tr w14:paraId="24F58C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D7EC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8ED0D8">
            <w:pPr>
              <w:jc w:val="center"/>
            </w:pPr>
            <w:r>
              <w:rPr>
                <w:rFonts w:ascii="宋体" w:hAnsi="宋体" w:eastAsia="宋体"/>
                <w:sz w:val="16"/>
              </w:rPr>
              <w:t>工作经费项目</w:t>
            </w:r>
          </w:p>
        </w:tc>
      </w:tr>
      <w:tr w14:paraId="1CD1E4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4CAB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4B59E3">
            <w:pPr>
              <w:jc w:val="center"/>
            </w:pPr>
            <w:r>
              <w:rPr>
                <w:rFonts w:ascii="宋体" w:hAnsi="宋体" w:eastAsia="宋体"/>
                <w:sz w:val="16"/>
              </w:rPr>
              <w:t>岳普湖县商务和工业信息化局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6FD3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B40774">
            <w:pPr>
              <w:jc w:val="center"/>
            </w:pPr>
            <w:r>
              <w:rPr>
                <w:rFonts w:ascii="宋体" w:hAnsi="宋体" w:eastAsia="宋体"/>
                <w:sz w:val="16"/>
              </w:rPr>
              <w:t>岳普湖县商务和工业信息化局</w:t>
            </w:r>
          </w:p>
        </w:tc>
      </w:tr>
      <w:tr w14:paraId="52291E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989F7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62AF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A634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5B3F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B83C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B1FA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1BDB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764E6">
            <w:pPr>
              <w:jc w:val="center"/>
            </w:pPr>
            <w:r>
              <w:rPr>
                <w:rFonts w:ascii="宋体" w:hAnsi="宋体" w:eastAsia="宋体"/>
                <w:sz w:val="16"/>
              </w:rPr>
              <w:t>得分</w:t>
            </w:r>
          </w:p>
        </w:tc>
      </w:tr>
      <w:tr w14:paraId="2A95CE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7BE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61F1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116CF">
            <w:pPr>
              <w:jc w:val="center"/>
            </w:pPr>
            <w:r>
              <w:rPr>
                <w:rFonts w:ascii="宋体" w:hAnsi="宋体" w:eastAsia="宋体"/>
                <w:sz w:val="16"/>
              </w:rPr>
              <w:t>16.33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B1DAC">
            <w:pPr>
              <w:jc w:val="center"/>
            </w:pPr>
            <w:r>
              <w:rPr>
                <w:rFonts w:ascii="宋体" w:hAnsi="宋体" w:eastAsia="宋体"/>
                <w:sz w:val="16"/>
              </w:rPr>
              <w:t>138.57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0F41F">
            <w:pPr>
              <w:jc w:val="center"/>
            </w:pPr>
            <w:r>
              <w:rPr>
                <w:rFonts w:ascii="宋体" w:hAnsi="宋体" w:eastAsia="宋体"/>
                <w:sz w:val="16"/>
              </w:rPr>
              <w:t>138.57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6C1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894B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C5922">
            <w:pPr>
              <w:jc w:val="center"/>
            </w:pPr>
            <w:r>
              <w:rPr>
                <w:rFonts w:ascii="宋体" w:hAnsi="宋体" w:eastAsia="宋体"/>
                <w:sz w:val="16"/>
              </w:rPr>
              <w:t>10.00分</w:t>
            </w:r>
          </w:p>
        </w:tc>
      </w:tr>
      <w:tr w14:paraId="2EBEA2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37C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CBBB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9E9DF">
            <w:pPr>
              <w:jc w:val="center"/>
            </w:pPr>
            <w:r>
              <w:rPr>
                <w:rFonts w:ascii="宋体" w:hAnsi="宋体" w:eastAsia="宋体"/>
                <w:sz w:val="16"/>
              </w:rPr>
              <w:t>16.33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195CA">
            <w:pPr>
              <w:jc w:val="center"/>
            </w:pPr>
            <w:r>
              <w:rPr>
                <w:rFonts w:ascii="宋体" w:hAnsi="宋体" w:eastAsia="宋体"/>
                <w:sz w:val="16"/>
              </w:rPr>
              <w:t>39.29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98163">
            <w:pPr>
              <w:jc w:val="center"/>
            </w:pPr>
            <w:r>
              <w:rPr>
                <w:rFonts w:ascii="宋体" w:hAnsi="宋体" w:eastAsia="宋体"/>
                <w:sz w:val="16"/>
              </w:rPr>
              <w:t>39.29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A0E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2ED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5E6F3">
            <w:pPr>
              <w:jc w:val="center"/>
            </w:pPr>
            <w:r>
              <w:rPr>
                <w:rFonts w:ascii="宋体" w:hAnsi="宋体" w:eastAsia="宋体"/>
                <w:sz w:val="16"/>
              </w:rPr>
              <w:t>—</w:t>
            </w:r>
          </w:p>
        </w:tc>
      </w:tr>
      <w:tr w14:paraId="05E6C7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66F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AD41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686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A6FA1">
            <w:pPr>
              <w:jc w:val="center"/>
            </w:pPr>
            <w:r>
              <w:rPr>
                <w:rFonts w:ascii="宋体" w:hAnsi="宋体" w:eastAsia="宋体"/>
                <w:sz w:val="16"/>
              </w:rPr>
              <w:t>99.28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BD0AF">
            <w:pPr>
              <w:jc w:val="center"/>
            </w:pPr>
            <w:r>
              <w:rPr>
                <w:rFonts w:ascii="宋体" w:hAnsi="宋体" w:eastAsia="宋体"/>
                <w:sz w:val="16"/>
              </w:rPr>
              <w:t>99.28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E06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B40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D0EA9">
            <w:pPr>
              <w:jc w:val="center"/>
            </w:pPr>
            <w:r>
              <w:rPr>
                <w:rFonts w:ascii="宋体" w:hAnsi="宋体" w:eastAsia="宋体"/>
                <w:sz w:val="16"/>
              </w:rPr>
              <w:t>—</w:t>
            </w:r>
          </w:p>
        </w:tc>
      </w:tr>
      <w:tr w14:paraId="71782F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D0FDF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04C58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FBE9FF">
            <w:pPr>
              <w:jc w:val="center"/>
            </w:pPr>
            <w:r>
              <w:rPr>
                <w:rFonts w:ascii="宋体" w:hAnsi="宋体" w:eastAsia="宋体"/>
                <w:sz w:val="16"/>
              </w:rPr>
              <w:t>实际完成情况</w:t>
            </w:r>
          </w:p>
        </w:tc>
      </w:tr>
      <w:tr w14:paraId="6299DD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BE87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D91713">
            <w:pPr>
              <w:jc w:val="both"/>
            </w:pPr>
            <w:r>
              <w:rPr>
                <w:rFonts w:ascii="宋体" w:hAnsi="宋体" w:eastAsia="宋体"/>
                <w:sz w:val="16"/>
              </w:rPr>
              <w:t>项目资金主要是保障1个单位的日常工作经费。主要用于单位的办公经费、公务用车经费、招商经费等。通过项目的实施保障单位日常工作的正常运转。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9F5690">
            <w:pPr>
              <w:jc w:val="both"/>
            </w:pPr>
            <w:r>
              <w:rPr>
                <w:rFonts w:ascii="宋体" w:hAnsi="宋体" w:eastAsia="宋体"/>
                <w:sz w:val="16"/>
              </w:rPr>
              <w:t>现阶段已保障1个单位的日常工作经费。支出主要用于单位的办公经费、公务用车经费、招商经费等。预算执行率为100%。通过项目的实施保障单位日常工作的正常运转。</w:t>
            </w:r>
          </w:p>
        </w:tc>
      </w:tr>
      <w:tr w14:paraId="38C403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783A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438E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CCB3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5A75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F42B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2C6B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80C3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4B59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F189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65AE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6CFE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CB48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362D9">
            <w:pPr>
              <w:jc w:val="center"/>
            </w:pPr>
            <w:r>
              <w:rPr>
                <w:rFonts w:ascii="宋体" w:hAnsi="宋体" w:eastAsia="宋体"/>
                <w:sz w:val="16"/>
              </w:rPr>
              <w:t>偏差原因分析及改进措施</w:t>
            </w:r>
          </w:p>
        </w:tc>
      </w:tr>
      <w:tr w14:paraId="325651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F69CC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5D730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030A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457AA">
            <w:pPr>
              <w:jc w:val="center"/>
            </w:pPr>
            <w:r>
              <w:rPr>
                <w:rFonts w:ascii="宋体" w:hAnsi="宋体" w:eastAsia="宋体"/>
                <w:sz w:val="16"/>
              </w:rPr>
              <w:t>保障工作经费单位数量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382B8">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FDE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D9C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F466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EEB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933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C609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8D7E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9A4B0">
            <w:pPr>
              <w:jc w:val="center"/>
            </w:pPr>
          </w:p>
        </w:tc>
      </w:tr>
      <w:tr w14:paraId="08BDD4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9856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4ABA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49120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BAE2A">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CD6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B41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D1F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58FD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AFE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FDC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D4F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C14B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61BA0">
            <w:pPr>
              <w:jc w:val="center"/>
            </w:pPr>
          </w:p>
        </w:tc>
      </w:tr>
      <w:tr w14:paraId="465667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0B6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151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112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BD5E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C72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527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E58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ABFA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071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DFA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B5F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317E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8A7F4">
            <w:pPr>
              <w:jc w:val="center"/>
            </w:pPr>
          </w:p>
        </w:tc>
      </w:tr>
      <w:tr w14:paraId="6AB54F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7F7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B26C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AB51E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1317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C2D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4AD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EB4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875D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B42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58CD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C40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053C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7DFC2">
            <w:pPr>
              <w:jc w:val="center"/>
            </w:pPr>
          </w:p>
        </w:tc>
      </w:tr>
      <w:tr w14:paraId="60AF37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082D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405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E91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C63BA">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7680B">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917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C57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264D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A312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FAC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328EB">
            <w:pPr>
              <w:jc w:val="center"/>
            </w:pPr>
            <w:r>
              <w:rPr>
                <w:rFonts w:ascii="宋体" w:hAnsi="宋体" w:eastAsia="宋体"/>
                <w:sz w:val="16"/>
              </w:rPr>
              <w:t>=2024年9月20日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2C77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208DD">
            <w:pPr>
              <w:jc w:val="center"/>
            </w:pPr>
          </w:p>
        </w:tc>
      </w:tr>
      <w:tr w14:paraId="654F05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DFA3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6EFBD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15206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EBC10">
            <w:pPr>
              <w:jc w:val="center"/>
            </w:pPr>
            <w:r>
              <w:rPr>
                <w:rFonts w:ascii="宋体" w:hAnsi="宋体" w:eastAsia="宋体"/>
                <w:sz w:val="16"/>
              </w:rPr>
              <w:t>办公经费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3007A">
            <w:pPr>
              <w:jc w:val="center"/>
            </w:pPr>
            <w:r>
              <w:rPr>
                <w:rFonts w:ascii="宋体" w:hAnsi="宋体" w:eastAsia="宋体"/>
                <w:sz w:val="16"/>
              </w:rPr>
              <w:t>&lt;=3.60万元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71BF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1C0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9200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1BB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5CB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964AF">
            <w:pPr>
              <w:jc w:val="center"/>
            </w:pPr>
            <w:r>
              <w:rPr>
                <w:rFonts w:ascii="宋体" w:hAnsi="宋体" w:eastAsia="宋体"/>
                <w:sz w:val="16"/>
              </w:rPr>
              <w: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C824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DC6E7">
            <w:pPr>
              <w:jc w:val="center"/>
            </w:pPr>
          </w:p>
        </w:tc>
      </w:tr>
      <w:tr w14:paraId="1A18B3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E4F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FAD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146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E3640">
            <w:pPr>
              <w:jc w:val="center"/>
            </w:pPr>
            <w:r>
              <w:rPr>
                <w:rFonts w:ascii="宋体" w:hAnsi="宋体" w:eastAsia="宋体"/>
                <w:sz w:val="16"/>
              </w:rPr>
              <w:t>招商经费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31201">
            <w:pPr>
              <w:jc w:val="center"/>
            </w:pPr>
            <w:r>
              <w:rPr>
                <w:rFonts w:ascii="宋体" w:hAnsi="宋体" w:eastAsia="宋体"/>
                <w:sz w:val="16"/>
              </w:rPr>
              <w:t>&lt;=61.51万元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1E3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9A2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994A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A5D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5E7B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A3AF7">
            <w:pPr>
              <w:jc w:val="center"/>
            </w:pPr>
            <w:r>
              <w:rPr>
                <w:rFonts w:ascii="宋体" w:hAnsi="宋体" w:eastAsia="宋体"/>
                <w:sz w:val="16"/>
              </w:rPr>
              <w:t>=61.51万元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91F9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550B9">
            <w:pPr>
              <w:jc w:val="center"/>
            </w:pPr>
          </w:p>
        </w:tc>
      </w:tr>
      <w:tr w14:paraId="4BCC86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26E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4E4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CED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4D79E">
            <w:pPr>
              <w:jc w:val="center"/>
            </w:pPr>
            <w:r>
              <w:rPr>
                <w:rFonts w:ascii="宋体" w:hAnsi="宋体" w:eastAsia="宋体"/>
                <w:sz w:val="16"/>
              </w:rPr>
              <w:t>“喀交会”参会经费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00DD1">
            <w:pPr>
              <w:jc w:val="center"/>
            </w:pPr>
            <w:r>
              <w:rPr>
                <w:rFonts w:ascii="宋体" w:hAnsi="宋体" w:eastAsia="宋体"/>
                <w:sz w:val="16"/>
              </w:rPr>
              <w:t>&lt;=53.46万元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9F9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618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F769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CA2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ACD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CAC1E">
            <w:pPr>
              <w:jc w:val="center"/>
            </w:pPr>
            <w:r>
              <w:rPr>
                <w:rFonts w:ascii="宋体" w:hAnsi="宋体" w:eastAsia="宋体"/>
                <w:sz w:val="16"/>
              </w:rPr>
              <w:t>=53.46万元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5CA0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78AC3">
            <w:pPr>
              <w:jc w:val="center"/>
            </w:pPr>
          </w:p>
        </w:tc>
      </w:tr>
      <w:tr w14:paraId="3C0201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F8E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710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5A0B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CBA2F">
            <w:pPr>
              <w:jc w:val="center"/>
            </w:pPr>
            <w:r>
              <w:rPr>
                <w:rFonts w:ascii="宋体" w:hAnsi="宋体" w:eastAsia="宋体"/>
                <w:sz w:val="16"/>
              </w:rPr>
              <w:t>数据服务产业园经费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FEBEA">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957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C04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17B1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184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4D3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21183">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0BAA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825E8">
            <w:pPr>
              <w:jc w:val="center"/>
            </w:pPr>
          </w:p>
        </w:tc>
      </w:tr>
      <w:tr w14:paraId="20E31A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79E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54D0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AD3D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27BEB">
            <w:pPr>
              <w:jc w:val="center"/>
            </w:pPr>
            <w:r>
              <w:rPr>
                <w:rFonts w:ascii="宋体" w:hAnsi="宋体" w:eastAsia="宋体"/>
                <w:sz w:val="16"/>
              </w:rPr>
              <w:t>保障单位日常工作的正常运转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046B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BE4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2DF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C4F21">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7A0E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07F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F2B2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4D2C4">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6FA7E">
            <w:pPr>
              <w:jc w:val="center"/>
            </w:pPr>
          </w:p>
        </w:tc>
      </w:tr>
      <w:tr w14:paraId="7C3334E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D48CE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5E3F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3B944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5959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393DFA6"/>
        </w:tc>
      </w:tr>
    </w:tbl>
    <w:p w14:paraId="5A1B569F">
      <w:r>
        <w:br w:type="page"/>
      </w:r>
    </w:p>
    <w:p w14:paraId="0A26C09B">
      <w:pPr>
        <w:spacing w:line="640" w:lineRule="exact"/>
        <w:ind w:firstLine="640"/>
        <w:jc w:val="both"/>
        <w:outlineLvl w:val="2"/>
      </w:pPr>
      <w:r>
        <w:rPr>
          <w:rFonts w:ascii="黑体" w:hAnsi="黑体" w:eastAsia="黑体"/>
          <w:sz w:val="32"/>
        </w:rPr>
        <w:t>十二、其他需说明的事项</w:t>
      </w:r>
    </w:p>
    <w:p w14:paraId="7C3E6870">
      <w:pPr>
        <w:spacing w:line="580" w:lineRule="exact"/>
        <w:ind w:firstLine="640"/>
        <w:jc w:val="both"/>
      </w:pPr>
      <w:r>
        <w:rPr>
          <w:rFonts w:ascii="仿宋_GB2312" w:hAnsi="仿宋_GB2312" w:eastAsia="仿宋_GB2312"/>
          <w:b w:val="0"/>
          <w:sz w:val="32"/>
        </w:rPr>
        <w:t>本单位无其他需说明的事项。</w:t>
      </w:r>
    </w:p>
    <w:p w14:paraId="2AA5B2BA">
      <w:r>
        <w:br w:type="page"/>
      </w:r>
    </w:p>
    <w:p w14:paraId="16E5514A">
      <w:pPr>
        <w:spacing w:line="240" w:lineRule="auto"/>
        <w:jc w:val="center"/>
        <w:outlineLvl w:val="1"/>
      </w:pPr>
      <w:r>
        <w:rPr>
          <w:rFonts w:ascii="黑体" w:hAnsi="黑体" w:eastAsia="黑体"/>
          <w:sz w:val="32"/>
        </w:rPr>
        <w:t>第三部分 专业名词解释</w:t>
      </w:r>
    </w:p>
    <w:p w14:paraId="4380BC1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0F023A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21FCB3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C81A5F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910D77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209D5E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7D86F3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D93453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C6EFEE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39D968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0E3A9D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54FF79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4C1DCB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03DAF6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363FDDF">
      <w:r>
        <w:br w:type="page"/>
      </w:r>
    </w:p>
    <w:p w14:paraId="2D6809B4">
      <w:pPr>
        <w:spacing w:line="240" w:lineRule="auto"/>
        <w:jc w:val="center"/>
        <w:outlineLvl w:val="1"/>
      </w:pPr>
      <w:r>
        <w:rPr>
          <w:rFonts w:ascii="黑体" w:hAnsi="黑体" w:eastAsia="黑体"/>
          <w:sz w:val="32"/>
        </w:rPr>
        <w:t>第四部分 部门决算报表（见附表）</w:t>
      </w:r>
    </w:p>
    <w:p w14:paraId="25CB3C83">
      <w:pPr>
        <w:spacing w:line="240" w:lineRule="auto"/>
        <w:ind w:firstLine="640"/>
        <w:jc w:val="both"/>
      </w:pPr>
      <w:r>
        <w:rPr>
          <w:rFonts w:ascii="仿宋_GB2312" w:hAnsi="仿宋_GB2312" w:eastAsia="仿宋_GB2312"/>
          <w:b w:val="0"/>
          <w:sz w:val="32"/>
        </w:rPr>
        <w:t>一、《收入支出决算总表》</w:t>
      </w:r>
    </w:p>
    <w:p w14:paraId="685CE0C0">
      <w:pPr>
        <w:spacing w:line="240" w:lineRule="auto"/>
        <w:ind w:firstLine="640"/>
        <w:jc w:val="both"/>
      </w:pPr>
      <w:r>
        <w:rPr>
          <w:rFonts w:ascii="仿宋_GB2312" w:hAnsi="仿宋_GB2312" w:eastAsia="仿宋_GB2312"/>
          <w:b w:val="0"/>
          <w:sz w:val="32"/>
        </w:rPr>
        <w:t>二、《收入决算表》</w:t>
      </w:r>
    </w:p>
    <w:p w14:paraId="3A3A3458">
      <w:pPr>
        <w:spacing w:line="240" w:lineRule="auto"/>
        <w:ind w:firstLine="640"/>
        <w:jc w:val="both"/>
      </w:pPr>
      <w:r>
        <w:rPr>
          <w:rFonts w:ascii="仿宋_GB2312" w:hAnsi="仿宋_GB2312" w:eastAsia="仿宋_GB2312"/>
          <w:b w:val="0"/>
          <w:sz w:val="32"/>
        </w:rPr>
        <w:t>三、《支出决算表》</w:t>
      </w:r>
    </w:p>
    <w:p w14:paraId="3B73F001">
      <w:pPr>
        <w:spacing w:line="240" w:lineRule="auto"/>
        <w:ind w:firstLine="640"/>
        <w:jc w:val="both"/>
      </w:pPr>
      <w:r>
        <w:rPr>
          <w:rFonts w:ascii="仿宋_GB2312" w:hAnsi="仿宋_GB2312" w:eastAsia="仿宋_GB2312"/>
          <w:b w:val="0"/>
          <w:sz w:val="32"/>
        </w:rPr>
        <w:t>四、《财政拨款收入支出决算总表》</w:t>
      </w:r>
    </w:p>
    <w:p w14:paraId="16EA0A07">
      <w:pPr>
        <w:spacing w:line="240" w:lineRule="auto"/>
        <w:ind w:firstLine="640"/>
        <w:jc w:val="both"/>
      </w:pPr>
      <w:r>
        <w:rPr>
          <w:rFonts w:ascii="仿宋_GB2312" w:hAnsi="仿宋_GB2312" w:eastAsia="仿宋_GB2312"/>
          <w:b w:val="0"/>
          <w:sz w:val="32"/>
        </w:rPr>
        <w:t>五、《一般公共预算财政拨款支出决算表》</w:t>
      </w:r>
    </w:p>
    <w:p w14:paraId="7B95508F">
      <w:pPr>
        <w:spacing w:line="240" w:lineRule="auto"/>
        <w:ind w:firstLine="640"/>
        <w:jc w:val="both"/>
      </w:pPr>
      <w:r>
        <w:rPr>
          <w:rFonts w:ascii="仿宋_GB2312" w:hAnsi="仿宋_GB2312" w:eastAsia="仿宋_GB2312"/>
          <w:b w:val="0"/>
          <w:sz w:val="32"/>
        </w:rPr>
        <w:t>六、《一般公共预算财政拨款基本支出决算表》</w:t>
      </w:r>
    </w:p>
    <w:p w14:paraId="5C373560">
      <w:pPr>
        <w:spacing w:line="240" w:lineRule="auto"/>
        <w:ind w:firstLine="640"/>
        <w:jc w:val="both"/>
      </w:pPr>
      <w:r>
        <w:rPr>
          <w:rFonts w:ascii="仿宋_GB2312" w:hAnsi="仿宋_GB2312" w:eastAsia="仿宋_GB2312"/>
          <w:b w:val="0"/>
          <w:sz w:val="32"/>
        </w:rPr>
        <w:t>七、《政府性基金预算财政拨款收入支出决算表》</w:t>
      </w:r>
    </w:p>
    <w:p w14:paraId="757C1631">
      <w:pPr>
        <w:spacing w:line="240" w:lineRule="auto"/>
        <w:ind w:firstLine="640"/>
        <w:jc w:val="both"/>
      </w:pPr>
      <w:r>
        <w:rPr>
          <w:rFonts w:ascii="仿宋_GB2312" w:hAnsi="仿宋_GB2312" w:eastAsia="仿宋_GB2312"/>
          <w:b w:val="0"/>
          <w:sz w:val="32"/>
        </w:rPr>
        <w:t>八、《国有资本经营预算财政拨款收入支出决算表》</w:t>
      </w:r>
    </w:p>
    <w:p w14:paraId="266E3964">
      <w:pPr>
        <w:spacing w:line="240" w:lineRule="auto"/>
        <w:ind w:firstLine="640"/>
        <w:jc w:val="both"/>
      </w:pPr>
      <w:r>
        <w:rPr>
          <w:rFonts w:ascii="仿宋_GB2312" w:hAnsi="仿宋_GB2312" w:eastAsia="仿宋_GB2312"/>
          <w:b w:val="0"/>
          <w:sz w:val="32"/>
        </w:rPr>
        <w:t>九、《财政拨款“三公”经费支出决算表》</w:t>
      </w:r>
    </w:p>
    <w:p w14:paraId="2BDDEA60">
      <w:pPr>
        <w:spacing w:line="240" w:lineRule="auto"/>
        <w:ind w:firstLine="640"/>
        <w:jc w:val="both"/>
      </w:pPr>
    </w:p>
    <w:p w14:paraId="7C23BDE5">
      <w:pPr>
        <w:spacing w:line="240" w:lineRule="auto"/>
        <w:ind w:firstLine="640"/>
        <w:jc w:val="both"/>
      </w:pPr>
    </w:p>
    <w:p w14:paraId="2F89F397">
      <w:pPr>
        <w:spacing w:line="240" w:lineRule="auto"/>
        <w:ind w:firstLine="640"/>
        <w:jc w:val="both"/>
      </w:pPr>
    </w:p>
    <w:p w14:paraId="4A740D4E">
      <w:pPr>
        <w:spacing w:line="240" w:lineRule="auto"/>
        <w:ind w:firstLine="640"/>
        <w:jc w:val="both"/>
      </w:pPr>
    </w:p>
    <w:p w14:paraId="0276E71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9B0252B-8BDC-4015-9A94-2EDD4417216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5FCBD678-5C9F-4482-AB2C-14AAE1B1F31B}"/>
  </w:font>
  <w:font w:name="仿宋_GB2312">
    <w:panose1 w:val="02010609030101010101"/>
    <w:charset w:val="86"/>
    <w:family w:val="modern"/>
    <w:pitch w:val="default"/>
    <w:sig w:usb0="00000001" w:usb1="080E0000" w:usb2="00000000" w:usb3="00000000" w:csb0="00040000" w:csb1="00000000"/>
    <w:embedRegular r:id="rId3" w:fontKey="{22AE5A72-1E87-4F7F-9F99-4C03DA7B30B5}"/>
  </w:font>
  <w:font w:name="楷体_GB2312">
    <w:panose1 w:val="02010609030101010101"/>
    <w:charset w:val="86"/>
    <w:family w:val="auto"/>
    <w:pitch w:val="default"/>
    <w:sig w:usb0="00000001" w:usb1="080E0000" w:usb2="00000000" w:usb3="00000000" w:csb0="00040000" w:csb1="00000000"/>
    <w:embedRegular r:id="rId4" w:fontKey="{E291D4EF-8E6B-4EDF-9CC2-CCE72B485451}"/>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271E0D"/>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A505A36"/>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2480</Words>
  <Characters>2970</Characters>
  <Lines>0</Lines>
  <Paragraphs>0</Paragraphs>
  <TotalTime>4</TotalTime>
  <ScaleCrop>false</ScaleCrop>
  <LinksUpToDate>false</LinksUpToDate>
  <CharactersWithSpaces>2979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2025-09-12T10:39:18Z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eyJoZGlkIjoiMGIxZTI3ODM4ZmVjOGE5NDFiYmE3OTRiMjQ5OTEyNzIiLCJ1c2VySWQiOiIzNzI2MDMzNTYifQ==</vt:lpwstr>
  </property>
</Properties>
</file>