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岳普湖县商务局2024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456714">
      <w:r>
        <w:br w:type="page"/>
      </w:r>
    </w:p>
    <w:p w14:paraId="3593C2EE">
      <w:pPr>
        <w:spacing w:line="640" w:lineRule="exact"/>
        <w:jc w:val="center"/>
        <w:outlineLvl w:val="1"/>
      </w:pPr>
      <w:r>
        <w:rPr>
          <w:rFonts w:ascii="黑体" w:hAnsi="黑体" w:eastAsia="黑体"/>
          <w:sz w:val="32"/>
        </w:rPr>
        <w:t>第一部分 单位概况</w:t>
      </w:r>
    </w:p>
    <w:p w14:paraId="7A7EE1B3">
      <w:pPr>
        <w:spacing w:line="640" w:lineRule="exact"/>
        <w:ind w:firstLine="640"/>
        <w:jc w:val="both"/>
        <w:outlineLvl w:val="2"/>
      </w:pPr>
      <w:r>
        <w:rPr>
          <w:rFonts w:ascii="黑体" w:hAnsi="黑体" w:eastAsia="黑体"/>
          <w:sz w:val="32"/>
        </w:rPr>
        <w:t>一、主要职能</w:t>
      </w:r>
    </w:p>
    <w:p w14:paraId="3CD49403">
      <w:pPr>
        <w:spacing w:line="580" w:lineRule="exact"/>
        <w:ind w:firstLine="640"/>
        <w:jc w:val="both"/>
      </w:pPr>
      <w:r>
        <w:rPr>
          <w:rFonts w:ascii="仿宋_GB2312" w:hAnsi="仿宋_GB2312" w:eastAsia="仿宋_GB2312"/>
          <w:sz w:val="32"/>
        </w:rPr>
        <w:t>（一）贯彻执行国家和自治区对外贸易、商贸流通发展战略和方针政策，贯彻执行国内外贸易、招</w:t>
      </w:r>
      <w:r>
        <w:rPr>
          <w:rFonts w:hint="eastAsia" w:ascii="仿宋_GB2312" w:hAnsi="仿宋_GB2312" w:eastAsia="仿宋_GB2312"/>
          <w:sz w:val="32"/>
          <w:lang w:eastAsia="zh-CN"/>
        </w:rPr>
        <w:t>商引资</w:t>
      </w:r>
      <w:r>
        <w:rPr>
          <w:rFonts w:ascii="仿宋_GB2312" w:hAnsi="仿宋_GB2312" w:eastAsia="仿宋_GB2312"/>
          <w:sz w:val="32"/>
        </w:rPr>
        <w:t>、涉外贸易经济合作、外商投资、对外投资的地方性法规、规章和有关政策措施并组织实施。</w:t>
      </w:r>
    </w:p>
    <w:p w14:paraId="511D96AB">
      <w:pPr>
        <w:spacing w:line="580" w:lineRule="exact"/>
        <w:ind w:firstLine="640"/>
        <w:jc w:val="both"/>
      </w:pPr>
      <w:r>
        <w:rPr>
          <w:rFonts w:ascii="仿宋_GB2312" w:hAnsi="仿宋_GB2312" w:eastAsia="仿宋_GB2312"/>
          <w:sz w:val="32"/>
        </w:rPr>
        <w:t>（二）负责推进流通产业结构调整，指导流通企业改革、商贸服务业和社区商业发展，提出促进商贸中小企业发展的政策建议，推动流通标准化和连锁经营、商业特许经营、电子商务等现代流通方式的发展。</w:t>
      </w:r>
    </w:p>
    <w:p w14:paraId="4E8350D7">
      <w:pPr>
        <w:spacing w:line="580" w:lineRule="exact"/>
        <w:ind w:firstLine="640"/>
        <w:jc w:val="both"/>
      </w:pPr>
      <w:r>
        <w:rPr>
          <w:rFonts w:ascii="仿宋_GB2312" w:hAnsi="仿宋_GB2312" w:eastAsia="仿宋_GB2312"/>
          <w:sz w:val="32"/>
        </w:rPr>
        <w:t>（三）拟订贸易发展规划，推动内外贸市场和县乡市场发展，指导大宗产品批发市场规划和县城商业网点规划、商业体系建设工作，推进有关农村市场体系建设，组织实施农村现代流通体系建设。</w:t>
      </w:r>
    </w:p>
    <w:p w14:paraId="5662CC8E">
      <w:pPr>
        <w:spacing w:line="580" w:lineRule="exact"/>
        <w:ind w:firstLine="640"/>
        <w:jc w:val="both"/>
      </w:pPr>
      <w:r>
        <w:rPr>
          <w:rFonts w:ascii="仿宋_GB2312" w:hAnsi="仿宋_GB2312" w:eastAsia="仿宋_GB2312"/>
          <w:sz w:val="32"/>
        </w:rPr>
        <w:t>（四）负责规范市场经济秩序工作，拟定规范市场运行、流通秩序的政策，推动商务领域信用建设，指导商业信用销售，按有关规定对特殊流通行业进行监督管理。</w:t>
      </w:r>
    </w:p>
    <w:p w14:paraId="5B5A1859">
      <w:pPr>
        <w:spacing w:line="580" w:lineRule="exact"/>
        <w:ind w:firstLine="640"/>
        <w:jc w:val="both"/>
      </w:pPr>
      <w:r>
        <w:rPr>
          <w:rFonts w:ascii="仿宋_GB2312" w:hAnsi="仿宋_GB2312" w:eastAsia="仿宋_GB2312"/>
          <w:sz w:val="32"/>
        </w:rPr>
        <w:t>（五）负责组织重要生活必需品市场调控和重要生产资料流通管理，负责建立健全生活必需品市场供应应急管理机制；监测分析国内外贸易、市场运行、重要商品供求状况，调查分析商品价格信息并进行预测预警和信息引导；按分工负责重要消费品储备管理和市场调控工作；按有关规定对成品油流通进行监督管理。</w:t>
      </w:r>
    </w:p>
    <w:p w14:paraId="6C7DDB91">
      <w:pPr>
        <w:spacing w:line="580" w:lineRule="exact"/>
        <w:ind w:firstLine="640"/>
        <w:jc w:val="both"/>
      </w:pPr>
      <w:r>
        <w:rPr>
          <w:rFonts w:ascii="仿宋_GB2312" w:hAnsi="仿宋_GB2312" w:eastAsia="仿宋_GB2312"/>
          <w:sz w:val="32"/>
        </w:rPr>
        <w:t>（六）组织实施国家进出口商品、加工贸易管理办法和进出口管理商品、技术目录，落实促进外贸增长方式转变的政策措施；会同有关部门执行进出口商品政策，落实贸易促进活动和外贸促进体系建设。</w:t>
      </w:r>
    </w:p>
    <w:p w14:paraId="04F52663">
      <w:pPr>
        <w:spacing w:line="580" w:lineRule="exact"/>
        <w:ind w:firstLine="640"/>
        <w:jc w:val="both"/>
      </w:pPr>
      <w:r>
        <w:rPr>
          <w:rFonts w:ascii="仿宋_GB2312" w:hAnsi="仿宋_GB2312" w:eastAsia="仿宋_GB2312"/>
          <w:sz w:val="32"/>
        </w:rPr>
        <w:t>（七）制定电子商务发展规划和政策措施并组织实施，指导企业信息化建设及运用电子商务开拓市场；负责建立电子商务行业统计和评价体系，推进电子商务支撑服务体系发展。</w:t>
      </w:r>
    </w:p>
    <w:p w14:paraId="6AD3AA16">
      <w:pPr>
        <w:spacing w:line="580" w:lineRule="exact"/>
        <w:ind w:firstLine="640"/>
        <w:jc w:val="both"/>
      </w:pPr>
      <w:r>
        <w:rPr>
          <w:rFonts w:ascii="仿宋_GB2312" w:hAnsi="仿宋_GB2312" w:eastAsia="仿宋_GB2312"/>
          <w:sz w:val="32"/>
        </w:rPr>
        <w:t>（八）贯彻执行国家有关外商投资政策，参与拟订外商投资发展规划，做好外商投资企业服务，指导外商投资企业落实信息年度报告制度，推动重点产业对外开放与合作。</w:t>
      </w:r>
    </w:p>
    <w:p w14:paraId="5A1CC7CA">
      <w:pPr>
        <w:spacing w:line="580" w:lineRule="exact"/>
        <w:ind w:firstLine="640"/>
        <w:jc w:val="both"/>
      </w:pPr>
      <w:r>
        <w:rPr>
          <w:rFonts w:ascii="仿宋_GB2312" w:hAnsi="仿宋_GB2312" w:eastAsia="仿宋_GB2312"/>
          <w:sz w:val="32"/>
        </w:rPr>
        <w:t>（九）贯彻执行自治区党委、地委招</w:t>
      </w:r>
      <w:r>
        <w:rPr>
          <w:rFonts w:hint="eastAsia" w:ascii="仿宋_GB2312" w:hAnsi="仿宋_GB2312" w:eastAsia="仿宋_GB2312"/>
          <w:sz w:val="32"/>
          <w:lang w:eastAsia="zh-CN"/>
        </w:rPr>
        <w:t>商引资</w:t>
      </w:r>
      <w:r>
        <w:rPr>
          <w:rFonts w:ascii="仿宋_GB2312" w:hAnsi="仿宋_GB2312" w:eastAsia="仿宋_GB2312"/>
          <w:sz w:val="32"/>
        </w:rPr>
        <w:t>方针政策，拟订全县招</w:t>
      </w:r>
      <w:r>
        <w:rPr>
          <w:rFonts w:hint="eastAsia" w:ascii="仿宋_GB2312" w:hAnsi="仿宋_GB2312" w:eastAsia="仿宋_GB2312"/>
          <w:sz w:val="32"/>
          <w:lang w:eastAsia="zh-CN"/>
        </w:rPr>
        <w:t>商引资</w:t>
      </w:r>
      <w:r>
        <w:rPr>
          <w:rFonts w:ascii="仿宋_GB2312" w:hAnsi="仿宋_GB2312" w:eastAsia="仿宋_GB2312"/>
          <w:sz w:val="32"/>
        </w:rPr>
        <w:t>发展规划和年度计划，负责组织、协调、推进重大招商活动，完善招</w:t>
      </w:r>
      <w:r>
        <w:rPr>
          <w:rFonts w:hint="eastAsia" w:ascii="仿宋_GB2312" w:hAnsi="仿宋_GB2312" w:eastAsia="仿宋_GB2312"/>
          <w:sz w:val="32"/>
          <w:lang w:eastAsia="zh-CN"/>
        </w:rPr>
        <w:t>商引资</w:t>
      </w:r>
      <w:r>
        <w:rPr>
          <w:rFonts w:ascii="仿宋_GB2312" w:hAnsi="仿宋_GB2312" w:eastAsia="仿宋_GB2312"/>
          <w:sz w:val="32"/>
        </w:rPr>
        <w:t>服务体系，负责招</w:t>
      </w:r>
      <w:r>
        <w:rPr>
          <w:rFonts w:hint="eastAsia" w:ascii="仿宋_GB2312" w:hAnsi="仿宋_GB2312" w:eastAsia="仿宋_GB2312"/>
          <w:sz w:val="32"/>
          <w:lang w:eastAsia="zh-CN"/>
        </w:rPr>
        <w:t>商引资</w:t>
      </w:r>
      <w:r>
        <w:rPr>
          <w:rFonts w:ascii="仿宋_GB2312" w:hAnsi="仿宋_GB2312" w:eastAsia="仿宋_GB2312"/>
          <w:sz w:val="32"/>
        </w:rPr>
        <w:t>统计和信息发布有关工作。</w:t>
      </w:r>
    </w:p>
    <w:p w14:paraId="225A7AFE">
      <w:pPr>
        <w:spacing w:line="580" w:lineRule="exact"/>
        <w:ind w:firstLine="640"/>
        <w:jc w:val="both"/>
      </w:pPr>
      <w:r>
        <w:rPr>
          <w:rFonts w:ascii="仿宋_GB2312" w:hAnsi="仿宋_GB2312" w:eastAsia="仿宋_GB2312"/>
          <w:sz w:val="32"/>
        </w:rPr>
        <w:t>（十）完成县委、县人民政府交办的其他任务。</w:t>
      </w:r>
    </w:p>
    <w:p w14:paraId="6ECA83FE">
      <w:pPr>
        <w:spacing w:line="640" w:lineRule="exact"/>
        <w:ind w:firstLine="640"/>
        <w:jc w:val="both"/>
        <w:outlineLvl w:val="2"/>
      </w:pPr>
      <w:r>
        <w:rPr>
          <w:rFonts w:ascii="黑体" w:hAnsi="黑体" w:eastAsia="黑体"/>
          <w:sz w:val="32"/>
        </w:rPr>
        <w:t>二、机构设置及人员情况</w:t>
      </w:r>
    </w:p>
    <w:p w14:paraId="0604FE46">
      <w:pPr>
        <w:spacing w:line="580" w:lineRule="exact"/>
        <w:ind w:firstLine="640"/>
        <w:jc w:val="both"/>
      </w:pPr>
      <w:r>
        <w:rPr>
          <w:rFonts w:ascii="仿宋_GB2312" w:hAnsi="仿宋_GB2312" w:eastAsia="仿宋_GB2312"/>
          <w:sz w:val="32"/>
        </w:rPr>
        <w:t>岳普湖县商务局2024年度，实有人数10人，其中：在职人员10人，增加10人；离休人员0人，增加0人；退休人员0人,增加0人。</w:t>
      </w:r>
    </w:p>
    <w:p w14:paraId="4CE1F43B">
      <w:pPr>
        <w:spacing w:line="580" w:lineRule="exact"/>
        <w:ind w:firstLine="640"/>
        <w:jc w:val="both"/>
      </w:pPr>
      <w:r>
        <w:rPr>
          <w:rFonts w:ascii="仿宋_GB2312" w:hAnsi="仿宋_GB2312" w:eastAsia="仿宋_GB2312"/>
          <w:sz w:val="32"/>
        </w:rPr>
        <w:t>岳普湖县商务局无下属预算单位，下设3个科室，分别是：行政办公室、商务办、招商办。</w:t>
      </w:r>
    </w:p>
    <w:p w14:paraId="52178E5F">
      <w:r>
        <w:br w:type="page"/>
      </w:r>
    </w:p>
    <w:p w14:paraId="14AC4BC1">
      <w:pPr>
        <w:spacing w:line="240" w:lineRule="auto"/>
        <w:jc w:val="center"/>
        <w:outlineLvl w:val="1"/>
      </w:pPr>
      <w:r>
        <w:rPr>
          <w:rFonts w:ascii="黑体" w:hAnsi="黑体" w:eastAsia="黑体"/>
          <w:sz w:val="32"/>
        </w:rPr>
        <w:t>第二部分 部门决算情况说明</w:t>
      </w:r>
    </w:p>
    <w:p w14:paraId="18A7B9F1">
      <w:pPr>
        <w:spacing w:line="640" w:lineRule="exact"/>
        <w:ind w:firstLine="640"/>
        <w:jc w:val="both"/>
        <w:outlineLvl w:val="2"/>
      </w:pPr>
      <w:r>
        <w:rPr>
          <w:rFonts w:ascii="黑体" w:hAnsi="黑体" w:eastAsia="黑体"/>
          <w:sz w:val="32"/>
        </w:rPr>
        <w:t>一、收入支出决算总体情况说明</w:t>
      </w:r>
    </w:p>
    <w:p w14:paraId="2DA7129D">
      <w:pPr>
        <w:spacing w:line="580" w:lineRule="exact"/>
        <w:ind w:firstLine="640"/>
        <w:jc w:val="both"/>
      </w:pPr>
      <w:r>
        <w:rPr>
          <w:rFonts w:ascii="仿宋_GB2312" w:hAnsi="仿宋_GB2312" w:eastAsia="仿宋_GB2312"/>
          <w:b/>
          <w:sz w:val="32"/>
        </w:rPr>
        <w:t>2024年度收入总计244.85万元，</w:t>
      </w:r>
      <w:r>
        <w:rPr>
          <w:rFonts w:ascii="仿宋_GB2312" w:hAnsi="仿宋_GB2312" w:eastAsia="仿宋_GB2312"/>
          <w:b w:val="0"/>
          <w:sz w:val="32"/>
        </w:rPr>
        <w:t>其中：本年收入合计244.85万元，使用非财政拨款结余（含专用结余）0.00万元，年初结转和结余0.00万元。</w:t>
      </w:r>
    </w:p>
    <w:p w14:paraId="0DCC1712">
      <w:pPr>
        <w:spacing w:line="580" w:lineRule="exact"/>
        <w:ind w:firstLine="640"/>
        <w:jc w:val="both"/>
      </w:pPr>
      <w:r>
        <w:rPr>
          <w:rFonts w:ascii="仿宋_GB2312" w:hAnsi="仿宋_GB2312" w:eastAsia="仿宋_GB2312"/>
          <w:b/>
          <w:sz w:val="32"/>
        </w:rPr>
        <w:t>2024年度支出总计244.85万元，</w:t>
      </w:r>
      <w:r>
        <w:rPr>
          <w:rFonts w:ascii="仿宋_GB2312" w:hAnsi="仿宋_GB2312" w:eastAsia="仿宋_GB2312"/>
          <w:b w:val="0"/>
          <w:sz w:val="32"/>
        </w:rPr>
        <w:t>其中：本年支出合计244.85万元，结余分配0.00万元，年末结转和结余0.00万元。</w:t>
      </w:r>
    </w:p>
    <w:p w14:paraId="6F5FDBE8">
      <w:pPr>
        <w:spacing w:line="580" w:lineRule="exact"/>
        <w:ind w:firstLine="640"/>
        <w:jc w:val="both"/>
      </w:pPr>
      <w:r>
        <w:rPr>
          <w:rFonts w:ascii="仿宋_GB2312" w:hAnsi="仿宋_GB2312" w:eastAsia="仿宋_GB2312"/>
          <w:b w:val="0"/>
          <w:sz w:val="32"/>
        </w:rPr>
        <w:t>收入支出总体与上年相比，增加244.85万元，增长100.00%，主要原因是：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5CF79166">
      <w:pPr>
        <w:spacing w:line="640" w:lineRule="exact"/>
        <w:ind w:firstLine="640"/>
        <w:jc w:val="both"/>
        <w:outlineLvl w:val="2"/>
      </w:pPr>
      <w:r>
        <w:rPr>
          <w:rFonts w:ascii="黑体" w:hAnsi="黑体" w:eastAsia="黑体"/>
          <w:sz w:val="32"/>
        </w:rPr>
        <w:t>二、收入决算情况说明</w:t>
      </w:r>
    </w:p>
    <w:p w14:paraId="433F6F3D">
      <w:pPr>
        <w:spacing w:line="580" w:lineRule="exact"/>
        <w:ind w:firstLine="640"/>
        <w:jc w:val="both"/>
      </w:pPr>
      <w:r>
        <w:rPr>
          <w:rFonts w:ascii="仿宋_GB2312" w:hAnsi="仿宋_GB2312" w:eastAsia="仿宋_GB2312"/>
          <w:b/>
          <w:sz w:val="32"/>
        </w:rPr>
        <w:t>本年收入244.85万元，</w:t>
      </w:r>
      <w:r>
        <w:rPr>
          <w:rFonts w:ascii="仿宋_GB2312" w:hAnsi="仿宋_GB2312" w:eastAsia="仿宋_GB2312"/>
          <w:b w:val="0"/>
          <w:sz w:val="32"/>
        </w:rPr>
        <w:t>其中：财政拨款收入244.85万元，占100.00%；上级补助收入0.00万元，占0.00%；事业收入0.00万元，占0.00%；经营收入0.00万元，占0.00%；附属单位上缴收入0.00万元，占0.00%；其他收入0.00万元，占0.00%。</w:t>
      </w:r>
    </w:p>
    <w:p w14:paraId="35309FD5">
      <w:pPr>
        <w:spacing w:line="640" w:lineRule="exact"/>
        <w:ind w:firstLine="640"/>
        <w:jc w:val="both"/>
        <w:outlineLvl w:val="2"/>
      </w:pPr>
      <w:r>
        <w:rPr>
          <w:rFonts w:ascii="黑体" w:hAnsi="黑体" w:eastAsia="黑体"/>
          <w:sz w:val="32"/>
        </w:rPr>
        <w:t>三、支出决算情况说明</w:t>
      </w:r>
    </w:p>
    <w:p w14:paraId="50A09DE3">
      <w:pPr>
        <w:spacing w:line="580" w:lineRule="exact"/>
        <w:ind w:firstLine="640"/>
        <w:jc w:val="both"/>
      </w:pPr>
      <w:r>
        <w:rPr>
          <w:rFonts w:ascii="仿宋_GB2312" w:hAnsi="仿宋_GB2312" w:eastAsia="仿宋_GB2312"/>
          <w:b/>
          <w:sz w:val="32"/>
        </w:rPr>
        <w:t>本年支出244.85万元，</w:t>
      </w:r>
      <w:r>
        <w:rPr>
          <w:rFonts w:ascii="仿宋_GB2312" w:hAnsi="仿宋_GB2312" w:eastAsia="仿宋_GB2312"/>
          <w:b w:val="0"/>
          <w:sz w:val="32"/>
        </w:rPr>
        <w:t>其中：基本支出31.98万元，占13.06%；项目支出212.86万元，占86.93%；上缴上级支出0.00万元，占0.00%；经营支出0.00万元，占0.00%；对附属单位补助支出0.00万元，占0.00%。</w:t>
      </w:r>
    </w:p>
    <w:p w14:paraId="70AC3683">
      <w:pPr>
        <w:spacing w:line="640" w:lineRule="exact"/>
        <w:ind w:firstLine="640"/>
        <w:jc w:val="both"/>
        <w:outlineLvl w:val="2"/>
      </w:pPr>
      <w:r>
        <w:rPr>
          <w:rFonts w:ascii="黑体" w:hAnsi="黑体" w:eastAsia="黑体"/>
          <w:sz w:val="32"/>
        </w:rPr>
        <w:t>四、财政拨款收入支出决算总体情况说明</w:t>
      </w:r>
    </w:p>
    <w:p w14:paraId="4A3A2878">
      <w:pPr>
        <w:spacing w:line="580" w:lineRule="exact"/>
        <w:ind w:firstLine="640"/>
        <w:jc w:val="both"/>
      </w:pPr>
      <w:r>
        <w:rPr>
          <w:rFonts w:ascii="仿宋_GB2312" w:hAnsi="仿宋_GB2312" w:eastAsia="仿宋_GB2312"/>
          <w:b/>
          <w:sz w:val="32"/>
        </w:rPr>
        <w:t>2024年度财政拨款收入总计244.85万元，</w:t>
      </w:r>
      <w:r>
        <w:rPr>
          <w:rFonts w:ascii="仿宋_GB2312" w:hAnsi="仿宋_GB2312" w:eastAsia="仿宋_GB2312"/>
          <w:b w:val="0"/>
          <w:sz w:val="32"/>
        </w:rPr>
        <w:t>其中：年初财政拨款结转和结余0.00万元，本年财政拨款收入244.85万元。</w:t>
      </w:r>
      <w:r>
        <w:rPr>
          <w:rFonts w:ascii="仿宋_GB2312" w:hAnsi="仿宋_GB2312" w:eastAsia="仿宋_GB2312"/>
          <w:b/>
          <w:sz w:val="32"/>
        </w:rPr>
        <w:t>财政拨款支出总计244.85万元，</w:t>
      </w:r>
      <w:r>
        <w:rPr>
          <w:rFonts w:ascii="仿宋_GB2312" w:hAnsi="仿宋_GB2312" w:eastAsia="仿宋_GB2312"/>
          <w:b w:val="0"/>
          <w:sz w:val="32"/>
        </w:rPr>
        <w:t>其中：年末财政拨款结转和结余0.00万元，本年财政拨款支出244.85万元。</w:t>
      </w:r>
    </w:p>
    <w:p w14:paraId="3779E7D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增加244.85万元，增长100.00%，主要原因是：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年初预算数0.00万元，决算数244.85万元，预决算差异率100.00%，主要原因是：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单位成立于2024年10月，追加人员经费、2024年度服务业发展资金（第二批）项目、2024年中央财政外经贸发展资金项目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7B1D7F7">
      <w:pPr>
        <w:spacing w:line="640" w:lineRule="exact"/>
        <w:ind w:firstLine="640"/>
        <w:jc w:val="both"/>
        <w:outlineLvl w:val="2"/>
      </w:pPr>
      <w:r>
        <w:rPr>
          <w:rFonts w:ascii="黑体" w:hAnsi="黑体" w:eastAsia="黑体"/>
          <w:sz w:val="32"/>
        </w:rPr>
        <w:t>五、一般公共预算财政拨款支出决算情况说明</w:t>
      </w:r>
    </w:p>
    <w:p w14:paraId="47007CD3">
      <w:pPr>
        <w:spacing w:line="640" w:lineRule="exact"/>
        <w:ind w:firstLine="640"/>
        <w:jc w:val="both"/>
        <w:outlineLvl w:val="3"/>
      </w:pPr>
      <w:r>
        <w:rPr>
          <w:rFonts w:ascii="楷体_GB2312" w:hAnsi="楷体_GB2312" w:eastAsia="楷体_GB2312"/>
          <w:b/>
          <w:sz w:val="32"/>
        </w:rPr>
        <w:t>（一）一般公共预算财政拨款支出决算总体情况</w:t>
      </w:r>
    </w:p>
    <w:p w14:paraId="3B052817">
      <w:pPr>
        <w:spacing w:line="580" w:lineRule="exact"/>
        <w:ind w:firstLine="640"/>
        <w:jc w:val="both"/>
      </w:pPr>
      <w:r>
        <w:rPr>
          <w:rFonts w:ascii="仿宋_GB2312" w:hAnsi="仿宋_GB2312" w:eastAsia="仿宋_GB2312"/>
          <w:b/>
          <w:sz w:val="32"/>
        </w:rPr>
        <w:t>2024年度一般公共预算财政拨款支出231.52万元，</w:t>
      </w:r>
      <w:r>
        <w:rPr>
          <w:rFonts w:ascii="仿宋_GB2312" w:hAnsi="仿宋_GB2312" w:eastAsia="仿宋_GB2312"/>
          <w:b w:val="0"/>
          <w:sz w:val="32"/>
        </w:rPr>
        <w:t>占本年支出合计的94.56%。</w:t>
      </w:r>
      <w:r>
        <w:rPr>
          <w:rFonts w:ascii="仿宋_GB2312" w:hAnsi="仿宋_GB2312" w:eastAsia="仿宋_GB2312"/>
          <w:b/>
          <w:sz w:val="32"/>
        </w:rPr>
        <w:t>与上年相比，</w:t>
      </w:r>
      <w:r>
        <w:rPr>
          <w:rFonts w:ascii="仿宋_GB2312" w:hAnsi="仿宋_GB2312" w:eastAsia="仿宋_GB2312"/>
          <w:b w:val="0"/>
          <w:sz w:val="32"/>
        </w:rPr>
        <w:t>增加231.52万元，增长100.00%，主要原因是：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年初预算数0.00万元，决算数231.52万元，预决算差异率100.00%，主要原因是：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单位成立于2024年10月，追加人员经费、2024年中央财政外经贸发展资金项目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509C31C">
      <w:pPr>
        <w:spacing w:line="640" w:lineRule="exact"/>
        <w:ind w:firstLine="640"/>
        <w:jc w:val="both"/>
        <w:outlineLvl w:val="3"/>
      </w:pPr>
      <w:r>
        <w:rPr>
          <w:rFonts w:ascii="楷体_GB2312" w:hAnsi="楷体_GB2312" w:eastAsia="楷体_GB2312"/>
          <w:b/>
          <w:sz w:val="32"/>
        </w:rPr>
        <w:t>（二）一般公共预算财政拨款支出决算结构情况</w:t>
      </w:r>
    </w:p>
    <w:p w14:paraId="6F152BB0">
      <w:pPr>
        <w:spacing w:line="580" w:lineRule="exact"/>
        <w:ind w:firstLine="640"/>
        <w:jc w:val="both"/>
      </w:pPr>
      <w:r>
        <w:rPr>
          <w:rFonts w:ascii="仿宋_GB2312" w:hAnsi="仿宋_GB2312" w:eastAsia="仿宋_GB2312"/>
          <w:b w:val="0"/>
          <w:sz w:val="32"/>
        </w:rPr>
        <w:t>1.一般公共服务支出(类)25.11万元,占10.85%。</w:t>
      </w:r>
    </w:p>
    <w:p w14:paraId="0C93060A">
      <w:pPr>
        <w:spacing w:line="580" w:lineRule="exact"/>
        <w:ind w:firstLine="640"/>
        <w:jc w:val="both"/>
      </w:pPr>
      <w:r>
        <w:rPr>
          <w:rFonts w:ascii="仿宋_GB2312" w:hAnsi="仿宋_GB2312" w:eastAsia="仿宋_GB2312"/>
          <w:b w:val="0"/>
          <w:sz w:val="32"/>
        </w:rPr>
        <w:t>2.社会保障和就业支出(类)2.99万元,占1.29%。</w:t>
      </w:r>
    </w:p>
    <w:p w14:paraId="4940F6B6">
      <w:pPr>
        <w:spacing w:line="580" w:lineRule="exact"/>
        <w:ind w:firstLine="640"/>
        <w:jc w:val="both"/>
      </w:pPr>
      <w:r>
        <w:rPr>
          <w:rFonts w:ascii="仿宋_GB2312" w:hAnsi="仿宋_GB2312" w:eastAsia="仿宋_GB2312"/>
          <w:b w:val="0"/>
          <w:sz w:val="32"/>
        </w:rPr>
        <w:t>3.卫生健康支出(类)1.45万元,占0.63%。</w:t>
      </w:r>
    </w:p>
    <w:p w14:paraId="5E16B543">
      <w:pPr>
        <w:spacing w:line="580" w:lineRule="exact"/>
        <w:ind w:firstLine="640"/>
        <w:jc w:val="both"/>
      </w:pPr>
      <w:r>
        <w:rPr>
          <w:rFonts w:ascii="仿宋_GB2312" w:hAnsi="仿宋_GB2312" w:eastAsia="仿宋_GB2312"/>
          <w:b w:val="0"/>
          <w:sz w:val="32"/>
        </w:rPr>
        <w:t>4.商业服务业等支出(类)199.54万元,占86.19%。</w:t>
      </w:r>
    </w:p>
    <w:p w14:paraId="1244F82B">
      <w:pPr>
        <w:spacing w:line="580" w:lineRule="exact"/>
        <w:ind w:firstLine="640"/>
        <w:jc w:val="both"/>
      </w:pPr>
      <w:r>
        <w:rPr>
          <w:rFonts w:ascii="仿宋_GB2312" w:hAnsi="仿宋_GB2312" w:eastAsia="仿宋_GB2312"/>
          <w:b w:val="0"/>
          <w:sz w:val="32"/>
        </w:rPr>
        <w:t>5.住房保障支出(类)2.43万元,占1.05%。</w:t>
      </w:r>
    </w:p>
    <w:p w14:paraId="5063100D">
      <w:pPr>
        <w:spacing w:line="640" w:lineRule="exact"/>
        <w:ind w:firstLine="640"/>
        <w:jc w:val="both"/>
        <w:outlineLvl w:val="3"/>
      </w:pPr>
      <w:r>
        <w:rPr>
          <w:rFonts w:ascii="楷体_GB2312" w:hAnsi="楷体_GB2312" w:eastAsia="楷体_GB2312"/>
          <w:b/>
          <w:sz w:val="32"/>
        </w:rPr>
        <w:t>（三）一般公共预算财政拨款支出决算具体情况</w:t>
      </w:r>
    </w:p>
    <w:p w14:paraId="6A53E137">
      <w:pPr>
        <w:spacing w:line="580" w:lineRule="exact"/>
        <w:ind w:firstLine="640"/>
        <w:jc w:val="both"/>
      </w:pPr>
      <w:r>
        <w:rPr>
          <w:rFonts w:ascii="仿宋_GB2312" w:hAnsi="仿宋_GB2312" w:eastAsia="仿宋_GB2312"/>
          <w:b w:val="0"/>
          <w:sz w:val="32"/>
        </w:rPr>
        <w:t>1.一般公共服务支出(类)商贸事务(款)行政运行(项):支出决算数为25.11万元，比上年决算增加25.11万元，增长100.00%,主要原因是：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2C8AB62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2.社会保障和就业支出(类)行政事业单位养老支出(款)机关事业单位基本养老保险缴费支出(项):支出决算数为2.99万元，比上年决算增加2.99万元，增长100.00%,主要原因是：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3459A9B5">
      <w:pPr>
        <w:spacing w:line="580" w:lineRule="exact"/>
        <w:ind w:firstLine="640"/>
        <w:jc w:val="both"/>
      </w:pPr>
      <w:r>
        <w:rPr>
          <w:rFonts w:ascii="仿宋_GB2312" w:hAnsi="仿宋_GB2312" w:eastAsia="仿宋_GB2312"/>
          <w:b w:val="0"/>
          <w:sz w:val="32"/>
        </w:rPr>
        <w:t>3.卫生健康支出(类)行政事业单位医疗(款)行政单位医疗(项):支出决算数为1.27万元，比上年决算增加1.27万元，增长100.00%,主要原因是：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5D6552B4">
      <w:pPr>
        <w:spacing w:line="580" w:lineRule="exact"/>
        <w:ind w:firstLine="640"/>
        <w:jc w:val="both"/>
      </w:pPr>
      <w:r>
        <w:rPr>
          <w:rFonts w:ascii="仿宋_GB2312" w:hAnsi="仿宋_GB2312" w:eastAsia="仿宋_GB2312"/>
          <w:b w:val="0"/>
          <w:sz w:val="32"/>
        </w:rPr>
        <w:t>4.卫生健康支出(类)行政事业单位医疗(款)公务员医疗补助(项):支出决算数为0.18万元，比上年决算增加0.18万元，增长100.00%,主要原因是：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11F7B482">
      <w:pPr>
        <w:spacing w:line="580" w:lineRule="exact"/>
        <w:ind w:firstLine="640"/>
        <w:jc w:val="both"/>
      </w:pPr>
      <w:r>
        <w:rPr>
          <w:rFonts w:ascii="仿宋_GB2312" w:hAnsi="仿宋_GB2312" w:eastAsia="仿宋_GB2312"/>
          <w:b w:val="0"/>
          <w:sz w:val="32"/>
        </w:rPr>
        <w:t>5.商业服务业等支出(类)商业流通事务(款)其他商业流通事务支出(项):支出决算数为0.70万元，比上年决算增加0.70万元，增长100.00%,主要原因是：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763A5F55">
      <w:pPr>
        <w:spacing w:line="580" w:lineRule="exact"/>
        <w:ind w:firstLine="640"/>
        <w:jc w:val="both"/>
      </w:pPr>
      <w:r>
        <w:rPr>
          <w:rFonts w:ascii="仿宋_GB2312" w:hAnsi="仿宋_GB2312" w:eastAsia="仿宋_GB2312"/>
          <w:b w:val="0"/>
          <w:sz w:val="32"/>
        </w:rPr>
        <w:t>6.商业服务业等支出(类)涉外发展服务支出(款)其他涉外发展服务支出(项):支出决算数为52.00万元，比上年决算增加52.00万元，增长100.00%,主要原因是：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247047A3">
      <w:pPr>
        <w:spacing w:line="580" w:lineRule="exact"/>
        <w:ind w:firstLine="640"/>
        <w:jc w:val="both"/>
      </w:pPr>
      <w:r>
        <w:rPr>
          <w:rFonts w:ascii="仿宋_GB2312" w:hAnsi="仿宋_GB2312" w:eastAsia="仿宋_GB2312"/>
          <w:b w:val="0"/>
          <w:sz w:val="32"/>
        </w:rPr>
        <w:t>7.商业服务业等支出(类)其他商业服务业等支出(款)其他商业服务业等支出(项):支出决算数为146.84万元，比上年决算增加146.84万元，增长100.00%,主要原因是：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10338321">
      <w:pPr>
        <w:spacing w:line="580" w:lineRule="exact"/>
        <w:ind w:firstLine="640"/>
        <w:jc w:val="both"/>
      </w:pPr>
      <w:r>
        <w:rPr>
          <w:rFonts w:ascii="仿宋_GB2312" w:hAnsi="仿宋_GB2312" w:eastAsia="仿宋_GB2312"/>
          <w:b w:val="0"/>
          <w:sz w:val="32"/>
        </w:rPr>
        <w:t>8.住房保障支出(类)住房改革支出(款)住房公积金(项):支出决算数为2.43万元，比上年决算增加2.43万元，增长100.00%,主要原因是：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31144972">
      <w:pPr>
        <w:spacing w:line="640" w:lineRule="exact"/>
        <w:ind w:firstLine="640"/>
        <w:jc w:val="both"/>
        <w:outlineLvl w:val="2"/>
      </w:pPr>
      <w:r>
        <w:rPr>
          <w:rFonts w:ascii="黑体" w:hAnsi="黑体" w:eastAsia="黑体"/>
          <w:sz w:val="32"/>
        </w:rPr>
        <w:t>六、一般公共预算财政拨款基本支出决算情况说明</w:t>
      </w:r>
    </w:p>
    <w:p w14:paraId="19124DAA">
      <w:pPr>
        <w:spacing w:line="580" w:lineRule="exact"/>
        <w:ind w:firstLine="640"/>
        <w:jc w:val="both"/>
      </w:pPr>
      <w:r>
        <w:rPr>
          <w:rFonts w:ascii="仿宋_GB2312" w:hAnsi="仿宋_GB2312" w:eastAsia="仿宋_GB2312"/>
          <w:b w:val="0"/>
          <w:sz w:val="32"/>
        </w:rPr>
        <w:t>2024年度一般公共预算财政拨款基本支出31.98万元，其中：</w:t>
      </w:r>
      <w:r>
        <w:rPr>
          <w:rFonts w:ascii="仿宋_GB2312" w:hAnsi="仿宋_GB2312" w:eastAsia="仿宋_GB2312"/>
          <w:b/>
          <w:sz w:val="32"/>
        </w:rPr>
        <w:t>人员经费30.61万元，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14:paraId="14CE6F2E">
      <w:pPr>
        <w:spacing w:line="580" w:lineRule="exact"/>
        <w:ind w:firstLine="640"/>
        <w:jc w:val="both"/>
      </w:pPr>
      <w:r>
        <w:rPr>
          <w:rFonts w:ascii="仿宋_GB2312" w:hAnsi="仿宋_GB2312" w:eastAsia="仿宋_GB2312"/>
          <w:b/>
          <w:sz w:val="32"/>
        </w:rPr>
        <w:t>公用经费1.37万元，</w:t>
      </w:r>
      <w:r>
        <w:rPr>
          <w:rFonts w:ascii="仿宋_GB2312" w:hAnsi="仿宋_GB2312" w:eastAsia="仿宋_GB2312"/>
          <w:b w:val="0"/>
          <w:sz w:val="32"/>
        </w:rPr>
        <w:t>包括：办公费、水费。</w:t>
      </w:r>
    </w:p>
    <w:p w14:paraId="4B777EE7">
      <w:pPr>
        <w:spacing w:line="640" w:lineRule="exact"/>
        <w:ind w:firstLine="640"/>
        <w:jc w:val="both"/>
        <w:outlineLvl w:val="2"/>
      </w:pPr>
      <w:r>
        <w:rPr>
          <w:rFonts w:ascii="黑体" w:hAnsi="黑体" w:eastAsia="黑体"/>
          <w:sz w:val="32"/>
        </w:rPr>
        <w:t>七、政府性基金预算财政拨款收入支出决算情况说明</w:t>
      </w:r>
    </w:p>
    <w:p w14:paraId="1F44B48E">
      <w:pPr>
        <w:spacing w:line="580" w:lineRule="exact"/>
        <w:ind w:firstLine="640"/>
        <w:jc w:val="both"/>
      </w:pPr>
      <w:r>
        <w:rPr>
          <w:rFonts w:ascii="仿宋_GB2312" w:hAnsi="仿宋_GB2312" w:eastAsia="仿宋_GB2312"/>
          <w:b/>
          <w:sz w:val="32"/>
        </w:rPr>
        <w:t>2024年度政府性基金预算财政拨款收入总计13.32万元，</w:t>
      </w:r>
      <w:r>
        <w:rPr>
          <w:rFonts w:ascii="仿宋_GB2312" w:hAnsi="仿宋_GB2312" w:eastAsia="仿宋_GB2312"/>
          <w:b w:val="0"/>
          <w:sz w:val="32"/>
        </w:rPr>
        <w:t>其中：年初结转和结余0.00万元，本年收入13.32万元。</w:t>
      </w:r>
      <w:r>
        <w:rPr>
          <w:rFonts w:ascii="仿宋_GB2312" w:hAnsi="仿宋_GB2312" w:eastAsia="仿宋_GB2312"/>
          <w:b/>
          <w:sz w:val="32"/>
        </w:rPr>
        <w:t>政府性基金预算财政拨款支出总计13.32万元，</w:t>
      </w:r>
      <w:r>
        <w:rPr>
          <w:rFonts w:ascii="仿宋_GB2312" w:hAnsi="仿宋_GB2312" w:eastAsia="仿宋_GB2312"/>
          <w:b w:val="0"/>
          <w:sz w:val="32"/>
        </w:rPr>
        <w:t>其中：年末结转和结余0.00万元，本年支出13.32万元。</w:t>
      </w:r>
    </w:p>
    <w:p w14:paraId="3036A9B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增加13.32万元，增长100.00%，主要原因是：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年初预算数0.00万元，决算数13.32万元，预决算差异率100.00%，主要原因是：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单位成立于2024年10月，年中追加2024年度服务业发展资金项目。</w:t>
      </w:r>
    </w:p>
    <w:p w14:paraId="77EF1EC4">
      <w:pPr>
        <w:spacing w:line="580" w:lineRule="exact"/>
        <w:ind w:firstLine="640"/>
        <w:jc w:val="both"/>
      </w:pPr>
      <w:r>
        <w:rPr>
          <w:rFonts w:ascii="仿宋_GB2312" w:hAnsi="仿宋_GB2312" w:eastAsia="仿宋_GB2312"/>
          <w:b w:val="0"/>
          <w:sz w:val="32"/>
        </w:rPr>
        <w:t>政府性基金预算财政拨款支出13.32万元。</w:t>
      </w:r>
    </w:p>
    <w:p w14:paraId="25D61A73">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1.资源勘探工业信息等支出(类)超长期特别国债安排的支出(款)制造业(项):支出决算数为13.32万元，比上年决算增加13.32万元，增长100.00%,主要原因是：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3B48AB89">
      <w:pPr>
        <w:spacing w:line="640" w:lineRule="exact"/>
        <w:ind w:firstLine="640"/>
        <w:jc w:val="both"/>
        <w:outlineLvl w:val="2"/>
      </w:pPr>
      <w:r>
        <w:rPr>
          <w:rFonts w:ascii="黑体" w:hAnsi="黑体" w:eastAsia="黑体"/>
          <w:sz w:val="32"/>
        </w:rPr>
        <w:t>八、国有资本经营预算财政拨款收入支出决算情况说明</w:t>
      </w:r>
    </w:p>
    <w:p w14:paraId="6514A68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B1871C">
      <w:pPr>
        <w:spacing w:line="640" w:lineRule="exact"/>
        <w:ind w:firstLine="640"/>
        <w:jc w:val="both"/>
        <w:outlineLvl w:val="2"/>
      </w:pPr>
      <w:r>
        <w:rPr>
          <w:rFonts w:ascii="黑体" w:hAnsi="黑体" w:eastAsia="黑体"/>
          <w:sz w:val="32"/>
        </w:rPr>
        <w:t>九、财政拨款“三公”经费支出决算情况说明</w:t>
      </w:r>
    </w:p>
    <w:p w14:paraId="2FEA892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31A6BE95">
      <w:pPr>
        <w:spacing w:line="580" w:lineRule="exact"/>
        <w:ind w:firstLine="640"/>
        <w:jc w:val="both"/>
      </w:pPr>
      <w:r>
        <w:rPr>
          <w:rFonts w:ascii="仿宋_GB2312" w:hAnsi="仿宋_GB2312" w:eastAsia="仿宋_GB2312"/>
          <w:b/>
          <w:sz w:val="32"/>
        </w:rPr>
        <w:t>具体情况如下：</w:t>
      </w:r>
    </w:p>
    <w:p w14:paraId="4D0C395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0BDF8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7B4BB9C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CFED15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2533662">
      <w:pPr>
        <w:spacing w:line="640" w:lineRule="exact"/>
        <w:ind w:firstLine="640"/>
        <w:jc w:val="both"/>
        <w:outlineLvl w:val="2"/>
      </w:pPr>
      <w:r>
        <w:rPr>
          <w:rFonts w:ascii="黑体" w:hAnsi="黑体" w:eastAsia="黑体"/>
          <w:sz w:val="32"/>
        </w:rPr>
        <w:t>十、其他重要事项的情况说明</w:t>
      </w:r>
    </w:p>
    <w:p w14:paraId="2918AE5A">
      <w:pPr>
        <w:spacing w:line="640" w:lineRule="exact"/>
        <w:ind w:firstLine="640"/>
        <w:jc w:val="both"/>
        <w:outlineLvl w:val="3"/>
      </w:pPr>
      <w:r>
        <w:rPr>
          <w:rFonts w:ascii="楷体_GB2312" w:hAnsi="楷体_GB2312" w:eastAsia="楷体_GB2312"/>
          <w:b/>
          <w:sz w:val="32"/>
        </w:rPr>
        <w:t>（一）机关运行经费及公用经费支出情况</w:t>
      </w:r>
    </w:p>
    <w:p w14:paraId="0C935AB3">
      <w:pPr>
        <w:spacing w:line="580" w:lineRule="exact"/>
        <w:ind w:firstLine="640"/>
        <w:jc w:val="both"/>
      </w:pPr>
      <w:r>
        <w:rPr>
          <w:rFonts w:ascii="仿宋_GB2312" w:hAnsi="仿宋_GB2312" w:eastAsia="仿宋_GB2312"/>
          <w:b w:val="0"/>
          <w:sz w:val="32"/>
        </w:rPr>
        <w:t>2024年度岳普湖县商务局（行政单位和参照公务员法管理事业单位）机关运行经费支出1.37万元，比上年增加1.37万元，增长100.00%，主要原因是：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单位本年为新增单位，无上年对比数据。</w:t>
      </w:r>
    </w:p>
    <w:p w14:paraId="29B2EA10">
      <w:pPr>
        <w:spacing w:line="640" w:lineRule="exact"/>
        <w:ind w:firstLine="640"/>
        <w:jc w:val="both"/>
        <w:outlineLvl w:val="3"/>
      </w:pPr>
      <w:r>
        <w:rPr>
          <w:rFonts w:ascii="楷体_GB2312" w:hAnsi="楷体_GB2312" w:eastAsia="楷体_GB2312"/>
          <w:b/>
          <w:sz w:val="32"/>
        </w:rPr>
        <w:t>（二）政府采购情况</w:t>
      </w:r>
    </w:p>
    <w:p w14:paraId="645DAC75">
      <w:pPr>
        <w:spacing w:line="580" w:lineRule="exact"/>
        <w:ind w:firstLine="640"/>
        <w:jc w:val="both"/>
      </w:pPr>
      <w:r>
        <w:rPr>
          <w:rFonts w:ascii="仿宋_GB2312" w:hAnsi="仿宋_GB2312" w:eastAsia="仿宋_GB2312"/>
          <w:b w:val="0"/>
          <w:sz w:val="32"/>
        </w:rPr>
        <w:t>2024年度政府采购支出总额20.32万元，其中：政府采购货物支出0.00万元、政府采购工程支出20.32万元、政府采购服务支出0.00万元。</w:t>
      </w:r>
    </w:p>
    <w:p w14:paraId="3C3A84CD">
      <w:pPr>
        <w:spacing w:line="580" w:lineRule="exact"/>
        <w:ind w:firstLine="640"/>
        <w:jc w:val="both"/>
      </w:pPr>
      <w:r>
        <w:rPr>
          <w:rFonts w:ascii="仿宋_GB2312" w:hAnsi="仿宋_GB2312" w:eastAsia="仿宋_GB2312"/>
          <w:b w:val="0"/>
          <w:sz w:val="32"/>
        </w:rPr>
        <w:t>授予中小企业合同金额20.32万元，占政府采购支出总额的100.00%，其中：授予小微企业合同金额20.32万元，占政府采购支出总额的100.00%。</w:t>
      </w:r>
    </w:p>
    <w:p w14:paraId="226720F3">
      <w:pPr>
        <w:spacing w:line="640" w:lineRule="exact"/>
        <w:ind w:firstLine="640"/>
        <w:jc w:val="both"/>
        <w:outlineLvl w:val="3"/>
      </w:pPr>
      <w:r>
        <w:rPr>
          <w:rFonts w:ascii="楷体_GB2312" w:hAnsi="楷体_GB2312" w:eastAsia="楷体_GB2312"/>
          <w:b/>
          <w:sz w:val="32"/>
        </w:rPr>
        <w:t>（三）国有资产占用情况说明</w:t>
      </w:r>
    </w:p>
    <w:p w14:paraId="7367703A">
      <w:pPr>
        <w:spacing w:line="580" w:lineRule="exact"/>
        <w:ind w:firstLine="640"/>
        <w:jc w:val="both"/>
      </w:pPr>
      <w:r>
        <w:rPr>
          <w:rFonts w:ascii="仿宋_GB2312" w:hAnsi="仿宋_GB2312" w:eastAsia="仿宋_GB2312"/>
          <w:b w:val="0"/>
          <w:sz w:val="32"/>
        </w:rPr>
        <w:t>截至2024年12月31日，房屋0.00平方米，价值0.00万元。车辆1辆，价值12.80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5C9647E9">
      <w:pPr>
        <w:spacing w:line="640" w:lineRule="exact"/>
        <w:ind w:firstLine="640"/>
        <w:jc w:val="both"/>
        <w:outlineLvl w:val="2"/>
      </w:pPr>
      <w:r>
        <w:rPr>
          <w:rFonts w:ascii="黑体" w:hAnsi="黑体" w:eastAsia="黑体"/>
          <w:sz w:val="32"/>
        </w:rPr>
        <w:t>十一、预算绩效的情况说明</w:t>
      </w:r>
    </w:p>
    <w:p w14:paraId="13632CB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244.85万元，实际执行总额244.85万元；预算绩效评价项目2个，全年预算数198.84万元，全年执行数198.84万元。预算绩效管理取得的成效：1.高效审核与兑现。建立高效的审核机制，采取多方沟通了解企业设备采购使用情况，提前掌握企业补贴补助享受的基本情况，缩短审核时间。实现补贴实效，确保补贴资金能够及时、准确地发放到企业手中。2.充分体现区位优势，培育和发展主导产业，加快产业发展步伐，壮大主导产业，提升产业集聚度，提升产业能级。发现的问题及原因：1.专业人才匮乏：当地劳动力素质不高，熟练的技术工人和设计、管理、营销等专业技术人才缺乏，很大程度上影响了生产效率。2.企业的扶持管理工作尚有不足：主要是信息不对称，沟通渠道不畅。影响了企业的成长，也降低了政府扶持政策的实施效果。下一步改进措施：1.加强人才培养与引进：为了提升当地劳动力的整体素质，必须加大对劳动力的技能培训力度，这包括提供更多的职业培训课程和实践机会。同时，积极采取措施吸引外部人才，为他们提供有竞争力的待遇和良好的工作环境，以促进人才的流入。2.建立健全的信息公开与共享机制：为了确保服务业企业能够及时准确地获取到最新的政策动态和项目实施情况，需要定期更新相关信息，并通过官方平台或行业会议等方式进行发布。此外，鼓励企业之间建立信息共享机制，通过合作交流，共同提升整个行业的信息透明度和效率。具体附整体支出绩效自评表，项目支出绩效自评表和评价报告。</w:t>
      </w:r>
    </w:p>
    <w:p w14:paraId="14F57AC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DD071AD">
        <w:tblPrEx>
          <w:tblCellMar>
            <w:top w:w="0" w:type="dxa"/>
            <w:left w:w="108" w:type="dxa"/>
            <w:bottom w:w="0" w:type="dxa"/>
            <w:right w:w="108" w:type="dxa"/>
          </w:tblCellMar>
        </w:tblPrEx>
        <w:tc>
          <w:tcPr>
            <w:tcW w:w="8847" w:type="dxa"/>
            <w:gridSpan w:val="9"/>
            <w:vAlign w:val="center"/>
          </w:tcPr>
          <w:p w14:paraId="023CDFFF">
            <w:pPr>
              <w:jc w:val="center"/>
            </w:pPr>
            <w:r>
              <w:rPr>
                <w:rFonts w:ascii="宋体" w:hAnsi="宋体" w:eastAsia="宋体"/>
                <w:sz w:val="24"/>
              </w:rPr>
              <w:t>单位整体支出绩效自评表</w:t>
            </w:r>
          </w:p>
        </w:tc>
      </w:tr>
      <w:tr w14:paraId="3DFE7BB0">
        <w:tblPrEx>
          <w:tblCellMar>
            <w:top w:w="0" w:type="dxa"/>
            <w:left w:w="108" w:type="dxa"/>
            <w:bottom w:w="0" w:type="dxa"/>
            <w:right w:w="108" w:type="dxa"/>
          </w:tblCellMar>
        </w:tblPrEx>
        <w:tc>
          <w:tcPr>
            <w:tcW w:w="8847" w:type="dxa"/>
            <w:gridSpan w:val="9"/>
            <w:vAlign w:val="center"/>
          </w:tcPr>
          <w:p w14:paraId="34982430">
            <w:pPr>
              <w:jc w:val="center"/>
            </w:pPr>
            <w:r>
              <w:rPr>
                <w:rFonts w:ascii="宋体" w:hAnsi="宋体" w:eastAsia="宋体"/>
                <w:sz w:val="24"/>
              </w:rPr>
              <w:t>（2024年度）</w:t>
            </w:r>
          </w:p>
        </w:tc>
      </w:tr>
      <w:tr w14:paraId="2BA353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532A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09FE90">
            <w:pPr>
              <w:jc w:val="center"/>
            </w:pPr>
            <w:r>
              <w:rPr>
                <w:rFonts w:ascii="宋体" w:hAnsi="宋体" w:eastAsia="宋体"/>
                <w:sz w:val="16"/>
              </w:rPr>
              <w:t>岳普湖县商务局</w:t>
            </w:r>
          </w:p>
        </w:tc>
      </w:tr>
      <w:tr w14:paraId="41AD39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FC88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AC34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E00A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5126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E9F3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3AA2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3529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BF7CB">
            <w:pPr>
              <w:jc w:val="center"/>
            </w:pPr>
            <w:r>
              <w:rPr>
                <w:rFonts w:ascii="宋体" w:hAnsi="宋体" w:eastAsia="宋体"/>
                <w:sz w:val="16"/>
              </w:rPr>
              <w:t>得分</w:t>
            </w:r>
          </w:p>
        </w:tc>
      </w:tr>
      <w:tr w14:paraId="5893E1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591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2559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B93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C313E">
            <w:pPr>
              <w:jc w:val="center"/>
            </w:pPr>
            <w:r>
              <w:rPr>
                <w:rFonts w:ascii="宋体" w:hAnsi="宋体" w:eastAsia="宋体"/>
                <w:sz w:val="16"/>
              </w:rPr>
              <w:t>244.85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0C4C5">
            <w:pPr>
              <w:jc w:val="center"/>
            </w:pPr>
            <w:r>
              <w:rPr>
                <w:rFonts w:ascii="宋体" w:hAnsi="宋体" w:eastAsia="宋体"/>
                <w:sz w:val="16"/>
              </w:rPr>
              <w:t>244.85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A93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5781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1D066">
            <w:pPr>
              <w:jc w:val="center"/>
            </w:pPr>
            <w:r>
              <w:rPr>
                <w:rFonts w:ascii="宋体" w:hAnsi="宋体" w:eastAsia="宋体"/>
                <w:sz w:val="16"/>
              </w:rPr>
              <w:t>10</w:t>
            </w:r>
          </w:p>
        </w:tc>
      </w:tr>
      <w:tr w14:paraId="3B3259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9304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DB36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CC5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83A40">
            <w:pPr>
              <w:jc w:val="center"/>
            </w:pPr>
            <w:r>
              <w:rPr>
                <w:rFonts w:ascii="宋体" w:hAnsi="宋体" w:eastAsia="宋体"/>
                <w:sz w:val="16"/>
              </w:rPr>
              <w:t>215.25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637DC">
            <w:pPr>
              <w:jc w:val="center"/>
            </w:pPr>
            <w:r>
              <w:rPr>
                <w:rFonts w:ascii="宋体" w:hAnsi="宋体" w:eastAsia="宋体"/>
                <w:sz w:val="16"/>
              </w:rPr>
              <w:t>215.25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CF8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91E0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EE4E6">
            <w:pPr>
              <w:jc w:val="center"/>
            </w:pPr>
            <w:r>
              <w:rPr>
                <w:rFonts w:ascii="宋体" w:hAnsi="宋体" w:eastAsia="宋体"/>
                <w:sz w:val="16"/>
              </w:rPr>
              <w:t>—</w:t>
            </w:r>
          </w:p>
        </w:tc>
      </w:tr>
      <w:tr w14:paraId="70128C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872B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214D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B23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D41F4">
            <w:pPr>
              <w:jc w:val="center"/>
            </w:pPr>
            <w:r>
              <w:rPr>
                <w:rFonts w:ascii="宋体" w:hAnsi="宋体" w:eastAsia="宋体"/>
                <w:sz w:val="16"/>
              </w:rPr>
              <w:t>29.60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3FD73">
            <w:pPr>
              <w:jc w:val="center"/>
            </w:pPr>
            <w:r>
              <w:rPr>
                <w:rFonts w:ascii="宋体" w:hAnsi="宋体" w:eastAsia="宋体"/>
                <w:sz w:val="16"/>
              </w:rPr>
              <w:t>29.60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42D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300A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86DDE">
            <w:pPr>
              <w:jc w:val="center"/>
            </w:pPr>
            <w:r>
              <w:rPr>
                <w:rFonts w:ascii="宋体" w:hAnsi="宋体" w:eastAsia="宋体"/>
                <w:sz w:val="16"/>
              </w:rPr>
              <w:t>—</w:t>
            </w:r>
          </w:p>
        </w:tc>
      </w:tr>
      <w:tr w14:paraId="638718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5306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3730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391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0AF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ABF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79C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1F1A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5413F">
            <w:pPr>
              <w:jc w:val="center"/>
            </w:pPr>
            <w:r>
              <w:rPr>
                <w:rFonts w:ascii="宋体" w:hAnsi="宋体" w:eastAsia="宋体"/>
                <w:sz w:val="16"/>
              </w:rPr>
              <w:t>—</w:t>
            </w:r>
          </w:p>
        </w:tc>
      </w:tr>
      <w:tr w14:paraId="5AEA5C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7B38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206A2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E9DD85">
            <w:pPr>
              <w:jc w:val="center"/>
            </w:pPr>
            <w:r>
              <w:rPr>
                <w:rFonts w:ascii="宋体" w:hAnsi="宋体" w:eastAsia="宋体"/>
                <w:sz w:val="16"/>
              </w:rPr>
              <w:t>实际完成情况</w:t>
            </w:r>
          </w:p>
        </w:tc>
      </w:tr>
      <w:tr w14:paraId="1107AA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30AC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89A70B">
            <w:pPr>
              <w:jc w:val="both"/>
            </w:pPr>
            <w:r>
              <w:rPr>
                <w:rFonts w:ascii="宋体" w:hAnsi="宋体" w:eastAsia="宋体"/>
                <w:sz w:val="16"/>
              </w:rPr>
              <w:t>保障园区有6家生产型出口企业，招引落地重点工业项目22个。生产型外贸出口企业增长100%。重点项目招引落地完成率为100%。全面提升对外开放水平，优化营商环境，促进消费升级，稳步推进县域经济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564081">
            <w:pPr>
              <w:jc w:val="both"/>
            </w:pPr>
            <w:r>
              <w:rPr>
                <w:rFonts w:ascii="宋体" w:hAnsi="宋体" w:eastAsia="宋体"/>
                <w:sz w:val="16"/>
              </w:rPr>
              <w:t>确保有6家专门从事生产的出口型企业得到了保障，已经成功地完成了对22个重点工业企业的招引工作。生产型外贸出口企业的数量实现了100%的增长。同时，重点项目招引落地的完成率达到了100%。充分发挥了单位的履职效能，全面提升了对外开放的水平，</w:t>
            </w:r>
            <w:r>
              <w:rPr>
                <w:rFonts w:hint="eastAsia" w:ascii="宋体" w:hAnsi="宋体"/>
                <w:sz w:val="16"/>
                <w:lang w:eastAsia="zh-CN"/>
              </w:rPr>
              <w:t>优化营商环境</w:t>
            </w:r>
            <w:r>
              <w:rPr>
                <w:rFonts w:ascii="宋体" w:hAnsi="宋体" w:eastAsia="宋体"/>
                <w:sz w:val="16"/>
              </w:rPr>
              <w:t>，促进了消费升级，并且稳步推进了县域</w:t>
            </w:r>
            <w:r>
              <w:rPr>
                <w:rFonts w:hint="eastAsia" w:ascii="宋体" w:hAnsi="宋体"/>
                <w:sz w:val="16"/>
                <w:lang w:eastAsia="zh-CN"/>
              </w:rPr>
              <w:t>经济高质量发展</w:t>
            </w:r>
            <w:r>
              <w:rPr>
                <w:rFonts w:ascii="宋体" w:hAnsi="宋体" w:eastAsia="宋体"/>
                <w:sz w:val="16"/>
              </w:rPr>
              <w:t>。</w:t>
            </w:r>
          </w:p>
        </w:tc>
      </w:tr>
      <w:tr w14:paraId="61FC33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9EE3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9CC7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B030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BCB9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1A54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2457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B920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4437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54028">
            <w:pPr>
              <w:jc w:val="center"/>
            </w:pPr>
            <w:r>
              <w:rPr>
                <w:rFonts w:ascii="宋体" w:hAnsi="宋体" w:eastAsia="宋体"/>
                <w:sz w:val="16"/>
              </w:rPr>
              <w:t>得分</w:t>
            </w:r>
          </w:p>
        </w:tc>
      </w:tr>
      <w:tr w14:paraId="4F16E7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82EE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90CA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BC3C5">
            <w:pPr>
              <w:jc w:val="center"/>
            </w:pPr>
            <w:r>
              <w:rPr>
                <w:rFonts w:ascii="宋体" w:hAnsi="宋体" w:eastAsia="宋体"/>
                <w:sz w:val="16"/>
              </w:rPr>
              <w:t>生产型出口企业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5BBE4">
            <w:pPr>
              <w:jc w:val="center"/>
            </w:pPr>
            <w:r>
              <w:rPr>
                <w:rFonts w:ascii="宋体" w:hAnsi="宋体" w:eastAsia="宋体"/>
                <w:sz w:val="16"/>
              </w:rPr>
              <w:t>&gt;=6家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F03E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D79C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5E28D">
            <w:pPr>
              <w:jc w:val="center"/>
            </w:pPr>
            <w:r>
              <w:rPr>
                <w:rFonts w:ascii="宋体" w:hAnsi="宋体" w:eastAsia="宋体"/>
                <w:sz w:val="16"/>
              </w:rPr>
              <w:t>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ED0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4C20F">
            <w:pPr>
              <w:jc w:val="center"/>
            </w:pPr>
            <w:r>
              <w:rPr>
                <w:rFonts w:ascii="宋体" w:hAnsi="宋体" w:eastAsia="宋体"/>
                <w:sz w:val="16"/>
              </w:rPr>
              <w:t>18</w:t>
            </w:r>
          </w:p>
        </w:tc>
      </w:tr>
      <w:tr w14:paraId="1EEEB9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8ED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BD2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3449F">
            <w:pPr>
              <w:jc w:val="center"/>
            </w:pPr>
            <w:r>
              <w:rPr>
                <w:rFonts w:ascii="宋体" w:hAnsi="宋体" w:eastAsia="宋体"/>
                <w:sz w:val="16"/>
              </w:rPr>
              <w:t>落地重点工业项目数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BD5DD">
            <w:pPr>
              <w:jc w:val="center"/>
            </w:pPr>
            <w:r>
              <w:rPr>
                <w:rFonts w:ascii="宋体" w:hAnsi="宋体" w:eastAsia="宋体"/>
                <w:sz w:val="16"/>
              </w:rPr>
              <w:t>&gt;=22个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BEA0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8232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FF637">
            <w:pPr>
              <w:jc w:val="center"/>
            </w:pPr>
            <w:r>
              <w:rPr>
                <w:rFonts w:ascii="宋体" w:hAnsi="宋体" w:eastAsia="宋体"/>
                <w:sz w:val="16"/>
              </w:rPr>
              <w:t>22个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386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E621E">
            <w:pPr>
              <w:jc w:val="center"/>
            </w:pPr>
            <w:r>
              <w:rPr>
                <w:rFonts w:ascii="宋体" w:hAnsi="宋体" w:eastAsia="宋体"/>
                <w:sz w:val="16"/>
              </w:rPr>
              <w:t>18</w:t>
            </w:r>
          </w:p>
        </w:tc>
      </w:tr>
      <w:tr w14:paraId="5DB168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9BBEA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A867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95BA6">
            <w:pPr>
              <w:jc w:val="center"/>
            </w:pPr>
            <w:r>
              <w:rPr>
                <w:rFonts w:ascii="宋体" w:hAnsi="宋体" w:eastAsia="宋体"/>
                <w:sz w:val="16"/>
              </w:rPr>
              <w:t>外贸出口企业增长率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80B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7829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18E8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808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988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35E48">
            <w:pPr>
              <w:jc w:val="center"/>
            </w:pPr>
            <w:r>
              <w:rPr>
                <w:rFonts w:ascii="宋体" w:hAnsi="宋体" w:eastAsia="宋体"/>
                <w:sz w:val="16"/>
              </w:rPr>
              <w:t>18</w:t>
            </w:r>
          </w:p>
        </w:tc>
      </w:tr>
      <w:tr w14:paraId="38DF8F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515B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9D62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357C8">
            <w:pPr>
              <w:jc w:val="center"/>
            </w:pPr>
            <w:r>
              <w:rPr>
                <w:rFonts w:ascii="宋体" w:hAnsi="宋体" w:eastAsia="宋体"/>
                <w:sz w:val="16"/>
              </w:rPr>
              <w:t>重点项目招引落地完成率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0A5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50B0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2523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2E5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B31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BBAE0">
            <w:pPr>
              <w:jc w:val="center"/>
            </w:pPr>
            <w:r>
              <w:rPr>
                <w:rFonts w:ascii="宋体" w:hAnsi="宋体" w:eastAsia="宋体"/>
                <w:sz w:val="16"/>
              </w:rPr>
              <w:t>18</w:t>
            </w:r>
          </w:p>
        </w:tc>
      </w:tr>
      <w:tr w14:paraId="5CF26D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87D9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6BB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8C77D">
            <w:pPr>
              <w:jc w:val="center"/>
            </w:pPr>
            <w:r>
              <w:rPr>
                <w:rFonts w:ascii="宋体" w:hAnsi="宋体" w:eastAsia="宋体"/>
                <w:sz w:val="16"/>
              </w:rPr>
              <w:t>园区骨干企业培育率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CE4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9AD0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77F6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7B3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292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58AF9">
            <w:pPr>
              <w:jc w:val="center"/>
            </w:pPr>
            <w:r>
              <w:rPr>
                <w:rFonts w:ascii="宋体" w:hAnsi="宋体" w:eastAsia="宋体"/>
                <w:sz w:val="16"/>
              </w:rPr>
              <w:t>18</w:t>
            </w:r>
          </w:p>
        </w:tc>
      </w:tr>
    </w:tbl>
    <w:p w14:paraId="6A4969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7FC2239">
        <w:tblPrEx>
          <w:tblCellMar>
            <w:top w:w="0" w:type="dxa"/>
            <w:left w:w="108" w:type="dxa"/>
            <w:bottom w:w="0" w:type="dxa"/>
            <w:right w:w="108" w:type="dxa"/>
          </w:tblCellMar>
        </w:tblPrEx>
        <w:tc>
          <w:tcPr>
            <w:tcW w:w="8848" w:type="dxa"/>
            <w:gridSpan w:val="14"/>
            <w:vAlign w:val="center"/>
          </w:tcPr>
          <w:p w14:paraId="7192F5AF">
            <w:pPr>
              <w:jc w:val="center"/>
            </w:pPr>
            <w:r>
              <w:rPr>
                <w:rFonts w:ascii="宋体" w:hAnsi="宋体" w:eastAsia="宋体"/>
                <w:sz w:val="24"/>
              </w:rPr>
              <w:t>项目支出绩效自评表</w:t>
            </w:r>
          </w:p>
        </w:tc>
      </w:tr>
      <w:tr w14:paraId="32C6CE70">
        <w:tblPrEx>
          <w:tblCellMar>
            <w:top w:w="0" w:type="dxa"/>
            <w:left w:w="108" w:type="dxa"/>
            <w:bottom w:w="0" w:type="dxa"/>
            <w:right w:w="108" w:type="dxa"/>
          </w:tblCellMar>
        </w:tblPrEx>
        <w:tc>
          <w:tcPr>
            <w:tcW w:w="8848" w:type="dxa"/>
            <w:gridSpan w:val="14"/>
            <w:vAlign w:val="center"/>
          </w:tcPr>
          <w:p w14:paraId="15184342">
            <w:pPr>
              <w:jc w:val="center"/>
            </w:pPr>
            <w:r>
              <w:rPr>
                <w:rFonts w:ascii="宋体" w:hAnsi="宋体" w:eastAsia="宋体"/>
                <w:sz w:val="24"/>
              </w:rPr>
              <w:t>(2024年度)</w:t>
            </w:r>
          </w:p>
        </w:tc>
      </w:tr>
      <w:tr w14:paraId="1523B5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1C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71ECED">
            <w:pPr>
              <w:jc w:val="center"/>
            </w:pPr>
            <w:r>
              <w:rPr>
                <w:rFonts w:ascii="宋体" w:hAnsi="宋体" w:eastAsia="宋体"/>
                <w:sz w:val="16"/>
              </w:rPr>
              <w:t>2024年中央财政外经贸发展资金项目</w:t>
            </w:r>
          </w:p>
        </w:tc>
      </w:tr>
      <w:tr w14:paraId="4BE121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62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C0FF44">
            <w:pPr>
              <w:jc w:val="center"/>
            </w:pPr>
            <w:r>
              <w:rPr>
                <w:rFonts w:ascii="宋体" w:hAnsi="宋体" w:eastAsia="宋体"/>
                <w:sz w:val="16"/>
              </w:rPr>
              <w:t>岳普湖县商务局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F1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BDCDB0">
            <w:pPr>
              <w:jc w:val="center"/>
            </w:pPr>
            <w:r>
              <w:rPr>
                <w:rFonts w:ascii="宋体" w:hAnsi="宋体" w:eastAsia="宋体"/>
                <w:sz w:val="16"/>
              </w:rPr>
              <w:t>岳普湖县商务局</w:t>
            </w:r>
          </w:p>
        </w:tc>
      </w:tr>
      <w:tr w14:paraId="2E0F19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FF1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E02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F11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512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B1B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216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A00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0B8A">
            <w:pPr>
              <w:jc w:val="center"/>
            </w:pPr>
            <w:r>
              <w:rPr>
                <w:rFonts w:ascii="宋体" w:hAnsi="宋体" w:eastAsia="宋体"/>
                <w:sz w:val="16"/>
              </w:rPr>
              <w:t>得分</w:t>
            </w:r>
          </w:p>
        </w:tc>
      </w:tr>
      <w:tr w14:paraId="0EC89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D51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6CC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66A9E">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F182E">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D76BD">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1BF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BB1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35D6">
            <w:pPr>
              <w:jc w:val="center"/>
            </w:pPr>
            <w:r>
              <w:rPr>
                <w:rFonts w:ascii="宋体" w:hAnsi="宋体" w:eastAsia="宋体"/>
                <w:sz w:val="16"/>
              </w:rPr>
              <w:t>10.00分</w:t>
            </w:r>
          </w:p>
        </w:tc>
      </w:tr>
      <w:tr w14:paraId="298AA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6F8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E45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3EF23">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A90E9">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B6853">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D5F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E093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4D45">
            <w:pPr>
              <w:jc w:val="center"/>
            </w:pPr>
            <w:r>
              <w:rPr>
                <w:rFonts w:ascii="宋体" w:hAnsi="宋体" w:eastAsia="宋体"/>
                <w:sz w:val="16"/>
              </w:rPr>
              <w:t>—</w:t>
            </w:r>
          </w:p>
        </w:tc>
      </w:tr>
      <w:tr w14:paraId="60CC2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CAB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943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98A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801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1B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A98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BFB9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92DC">
            <w:pPr>
              <w:jc w:val="center"/>
            </w:pPr>
            <w:r>
              <w:rPr>
                <w:rFonts w:ascii="宋体" w:hAnsi="宋体" w:eastAsia="宋体"/>
                <w:sz w:val="16"/>
              </w:rPr>
              <w:t>—</w:t>
            </w:r>
          </w:p>
        </w:tc>
      </w:tr>
      <w:tr w14:paraId="16EEB1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BB91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D83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F43D43">
            <w:pPr>
              <w:jc w:val="center"/>
            </w:pPr>
            <w:r>
              <w:rPr>
                <w:rFonts w:ascii="宋体" w:hAnsi="宋体" w:eastAsia="宋体"/>
                <w:sz w:val="16"/>
              </w:rPr>
              <w:t>实际完成情况</w:t>
            </w:r>
          </w:p>
        </w:tc>
      </w:tr>
      <w:tr w14:paraId="70A7A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704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F70E9A">
            <w:pPr>
              <w:jc w:val="both"/>
            </w:pPr>
            <w:r>
              <w:rPr>
                <w:rFonts w:ascii="宋体" w:hAnsi="宋体" w:eastAsia="宋体"/>
                <w:sz w:val="16"/>
              </w:rPr>
              <w:t>对岳普湖县2家外经贸企业进行进出口补贴，项目的实施进一步推动外贸企业的</w:t>
            </w:r>
            <w:bookmarkStart w:id="0" w:name="_GoBack"/>
            <w:r>
              <w:rPr>
                <w:rFonts w:ascii="宋体" w:hAnsi="宋体" w:eastAsia="宋体"/>
                <w:sz w:val="16"/>
              </w:rPr>
              <w:t>稳定</w:t>
            </w:r>
            <w:bookmarkEnd w:id="0"/>
            <w:r>
              <w:rPr>
                <w:rFonts w:ascii="宋体" w:hAnsi="宋体" w:eastAsia="宋体"/>
                <w:sz w:val="16"/>
              </w:rPr>
              <w:t>规模及优化结构。保障外经贸企业进出口业务的健康发展。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918A95">
            <w:pPr>
              <w:jc w:val="both"/>
            </w:pPr>
            <w:r>
              <w:rPr>
                <w:rFonts w:ascii="宋体" w:hAnsi="宋体" w:eastAsia="宋体"/>
                <w:sz w:val="16"/>
              </w:rPr>
              <w:t>已完成对岳普湖县2家外经贸企业进出口补贴的发放，预算执行率为100%。项目的实施进一步推动外贸企业的稳定规模及优化结构。保障外经贸企业进出口业务的健康发展。获得支持的外贸企业满意度为100%。</w:t>
            </w:r>
          </w:p>
        </w:tc>
      </w:tr>
      <w:tr w14:paraId="2DBE55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08E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6E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A2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DC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29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16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B3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5A6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78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95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62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37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457B4">
            <w:pPr>
              <w:jc w:val="center"/>
            </w:pPr>
            <w:r>
              <w:rPr>
                <w:rFonts w:ascii="宋体" w:hAnsi="宋体" w:eastAsia="宋体"/>
                <w:sz w:val="16"/>
              </w:rPr>
              <w:t>偏差原因分析及改进措施</w:t>
            </w:r>
          </w:p>
        </w:tc>
      </w:tr>
      <w:tr w14:paraId="5E5A1C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AEC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56FA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E0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7E36">
            <w:pPr>
              <w:jc w:val="center"/>
            </w:pPr>
            <w:r>
              <w:rPr>
                <w:rFonts w:ascii="宋体" w:hAnsi="宋体" w:eastAsia="宋体"/>
                <w:sz w:val="16"/>
              </w:rPr>
              <w:t>支持外贸企业数量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B695">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64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4682">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C1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CF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80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4665">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5D2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AA170">
            <w:pPr>
              <w:jc w:val="center"/>
            </w:pPr>
          </w:p>
        </w:tc>
      </w:tr>
      <w:tr w14:paraId="0AC83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E1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3F5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713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8A0A">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9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3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6D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90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0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3B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78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DA3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DB9F9">
            <w:pPr>
              <w:jc w:val="center"/>
            </w:pPr>
          </w:p>
        </w:tc>
      </w:tr>
      <w:tr w14:paraId="2CD1C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64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144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88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B45D">
            <w:pPr>
              <w:jc w:val="center"/>
            </w:pPr>
            <w:r>
              <w:rPr>
                <w:rFonts w:ascii="宋体" w:hAnsi="宋体" w:eastAsia="宋体"/>
                <w:sz w:val="16"/>
              </w:rPr>
              <w:t>预算资金保障率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FB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B9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7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07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0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28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70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43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02EC2">
            <w:pPr>
              <w:jc w:val="center"/>
            </w:pPr>
          </w:p>
        </w:tc>
      </w:tr>
      <w:tr w14:paraId="50166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F8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578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031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2F5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9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F3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6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EF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D8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BC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7E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B9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5FDB">
            <w:pPr>
              <w:jc w:val="center"/>
            </w:pPr>
          </w:p>
        </w:tc>
      </w:tr>
      <w:tr w14:paraId="52EB0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33D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529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48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2B5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F9B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5C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81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82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85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24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7DE3">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075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1D69E">
            <w:pPr>
              <w:jc w:val="center"/>
            </w:pPr>
          </w:p>
        </w:tc>
      </w:tr>
      <w:tr w14:paraId="1E241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5DB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F79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48A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56DF">
            <w:pPr>
              <w:jc w:val="center"/>
            </w:pPr>
            <w:r>
              <w:rPr>
                <w:rFonts w:ascii="宋体" w:hAnsi="宋体" w:eastAsia="宋体"/>
                <w:sz w:val="16"/>
              </w:rPr>
              <w:t>岳普湖县嘉瑜辰商贸有限公司补贴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8632">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D0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7E0E">
            <w:pPr>
              <w:jc w:val="center"/>
            </w:pPr>
            <w:r>
              <w:rPr>
                <w:rFonts w:ascii="宋体" w:hAnsi="宋体" w:eastAsia="宋体"/>
                <w:sz w:val="16"/>
              </w:rPr>
              <w:t>12.40万元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24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7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9C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C4E4">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70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CA115">
            <w:pPr>
              <w:jc w:val="center"/>
            </w:pPr>
          </w:p>
        </w:tc>
      </w:tr>
      <w:tr w14:paraId="20E34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7D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19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AA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D617">
            <w:pPr>
              <w:jc w:val="center"/>
            </w:pPr>
            <w:r>
              <w:rPr>
                <w:rFonts w:ascii="宋体" w:hAnsi="宋体" w:eastAsia="宋体"/>
                <w:sz w:val="16"/>
              </w:rPr>
              <w:t>新疆绿丹食品有限责任公司补贴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3847">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46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C87D">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65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A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13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1110">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9C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43EE3">
            <w:pPr>
              <w:jc w:val="center"/>
            </w:pPr>
          </w:p>
        </w:tc>
      </w:tr>
      <w:tr w14:paraId="477B8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62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2D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C6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49B6">
            <w:pPr>
              <w:jc w:val="center"/>
            </w:pPr>
            <w:r>
              <w:rPr>
                <w:rFonts w:ascii="宋体" w:hAnsi="宋体" w:eastAsia="宋体"/>
                <w:sz w:val="16"/>
              </w:rPr>
              <w:t>推动外贸企业的稳固规模及优化结构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A657">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A4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569D">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88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8E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B3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2AB8">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6B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1C6AA">
            <w:pPr>
              <w:jc w:val="center"/>
            </w:pPr>
          </w:p>
        </w:tc>
      </w:tr>
      <w:tr w14:paraId="3ED71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4D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93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87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43FE">
            <w:pPr>
              <w:jc w:val="center"/>
            </w:pPr>
            <w:r>
              <w:rPr>
                <w:rFonts w:ascii="宋体" w:hAnsi="宋体" w:eastAsia="宋体"/>
                <w:sz w:val="16"/>
              </w:rPr>
              <w:t>获得支持的外贸企业满意度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55D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35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7B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C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BC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83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39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D6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F173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B17761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048F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649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91D8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C08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7EEEF7"/>
        </w:tc>
      </w:tr>
    </w:tbl>
    <w:p w14:paraId="2FC006C1">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07D01053">
        <w:tblPrEx>
          <w:tblCellMar>
            <w:top w:w="0" w:type="dxa"/>
            <w:left w:w="108" w:type="dxa"/>
            <w:bottom w:w="0" w:type="dxa"/>
            <w:right w:w="108" w:type="dxa"/>
          </w:tblCellMar>
        </w:tblPrEx>
        <w:tc>
          <w:tcPr>
            <w:tcW w:w="8848" w:type="dxa"/>
            <w:gridSpan w:val="14"/>
            <w:vAlign w:val="center"/>
          </w:tcPr>
          <w:p w14:paraId="57FAFAFF">
            <w:pPr>
              <w:jc w:val="center"/>
            </w:pPr>
            <w:r>
              <w:rPr>
                <w:rFonts w:ascii="宋体" w:hAnsi="宋体" w:eastAsia="宋体"/>
                <w:sz w:val="24"/>
              </w:rPr>
              <w:t>项目支出绩效自评表</w:t>
            </w:r>
          </w:p>
        </w:tc>
      </w:tr>
      <w:tr w14:paraId="2127AE2A">
        <w:tblPrEx>
          <w:tblCellMar>
            <w:top w:w="0" w:type="dxa"/>
            <w:left w:w="108" w:type="dxa"/>
            <w:bottom w:w="0" w:type="dxa"/>
            <w:right w:w="108" w:type="dxa"/>
          </w:tblCellMar>
        </w:tblPrEx>
        <w:tc>
          <w:tcPr>
            <w:tcW w:w="8848" w:type="dxa"/>
            <w:gridSpan w:val="14"/>
            <w:vAlign w:val="center"/>
          </w:tcPr>
          <w:p w14:paraId="2795744B">
            <w:pPr>
              <w:jc w:val="center"/>
            </w:pPr>
            <w:r>
              <w:rPr>
                <w:rFonts w:ascii="宋体" w:hAnsi="宋体" w:eastAsia="宋体"/>
                <w:sz w:val="24"/>
              </w:rPr>
              <w:t>(2024年度)</w:t>
            </w:r>
          </w:p>
        </w:tc>
      </w:tr>
      <w:tr w14:paraId="56BE78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BF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4FC320">
            <w:pPr>
              <w:jc w:val="center"/>
            </w:pPr>
            <w:r>
              <w:rPr>
                <w:rFonts w:ascii="宋体" w:hAnsi="宋体" w:eastAsia="宋体"/>
                <w:sz w:val="16"/>
              </w:rPr>
              <w:t>2024年度服务业发展资金（第二批）项目</w:t>
            </w:r>
          </w:p>
        </w:tc>
      </w:tr>
      <w:tr w14:paraId="7BE42E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59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D1D332">
            <w:pPr>
              <w:jc w:val="center"/>
            </w:pPr>
            <w:r>
              <w:rPr>
                <w:rFonts w:ascii="宋体" w:hAnsi="宋体" w:eastAsia="宋体"/>
                <w:sz w:val="16"/>
              </w:rPr>
              <w:t>岳普湖县商务局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F1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3691FF">
            <w:pPr>
              <w:jc w:val="center"/>
            </w:pPr>
            <w:r>
              <w:rPr>
                <w:rFonts w:ascii="宋体" w:hAnsi="宋体" w:eastAsia="宋体"/>
                <w:sz w:val="16"/>
              </w:rPr>
              <w:t>岳普湖县商务局</w:t>
            </w:r>
          </w:p>
        </w:tc>
      </w:tr>
      <w:tr w14:paraId="4DE09F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2DD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313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6E0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125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2C3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435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D72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BA9C">
            <w:pPr>
              <w:jc w:val="center"/>
            </w:pPr>
            <w:r>
              <w:rPr>
                <w:rFonts w:ascii="宋体" w:hAnsi="宋体" w:eastAsia="宋体"/>
                <w:sz w:val="16"/>
              </w:rPr>
              <w:t>得分</w:t>
            </w:r>
          </w:p>
        </w:tc>
      </w:tr>
      <w:tr w14:paraId="68663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32B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5AF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6B702">
            <w:pPr>
              <w:jc w:val="center"/>
            </w:pPr>
            <w:r>
              <w:rPr>
                <w:rFonts w:ascii="宋体" w:hAnsi="宋体" w:eastAsia="宋体"/>
                <w:sz w:val="16"/>
              </w:rPr>
              <w:t>146.84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31FE3">
            <w:pPr>
              <w:jc w:val="center"/>
            </w:pPr>
            <w:r>
              <w:rPr>
                <w:rFonts w:ascii="宋体" w:hAnsi="宋体" w:eastAsia="宋体"/>
                <w:sz w:val="16"/>
              </w:rPr>
              <w:t>146.84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82012">
            <w:pPr>
              <w:jc w:val="center"/>
            </w:pPr>
            <w:r>
              <w:rPr>
                <w:rFonts w:ascii="宋体" w:hAnsi="宋体" w:eastAsia="宋体"/>
                <w:sz w:val="16"/>
              </w:rPr>
              <w:t>146.84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FBA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37D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C4D3">
            <w:pPr>
              <w:jc w:val="center"/>
            </w:pPr>
            <w:r>
              <w:rPr>
                <w:rFonts w:ascii="宋体" w:hAnsi="宋体" w:eastAsia="宋体"/>
                <w:sz w:val="16"/>
              </w:rPr>
              <w:t>10.00分</w:t>
            </w:r>
          </w:p>
        </w:tc>
      </w:tr>
      <w:tr w14:paraId="47C26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77A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035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AA55D">
            <w:pPr>
              <w:jc w:val="center"/>
            </w:pPr>
            <w:r>
              <w:rPr>
                <w:rFonts w:ascii="宋体" w:hAnsi="宋体" w:eastAsia="宋体"/>
                <w:sz w:val="16"/>
              </w:rPr>
              <w:t>146.84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67FB">
            <w:pPr>
              <w:jc w:val="center"/>
            </w:pPr>
            <w:r>
              <w:rPr>
                <w:rFonts w:ascii="宋体" w:hAnsi="宋体" w:eastAsia="宋体"/>
                <w:sz w:val="16"/>
              </w:rPr>
              <w:t>146.84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D2CEF">
            <w:pPr>
              <w:jc w:val="center"/>
            </w:pPr>
            <w:r>
              <w:rPr>
                <w:rFonts w:ascii="宋体" w:hAnsi="宋体" w:eastAsia="宋体"/>
                <w:sz w:val="16"/>
              </w:rPr>
              <w:t>146.84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238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C4ED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9D58">
            <w:pPr>
              <w:jc w:val="center"/>
            </w:pPr>
            <w:r>
              <w:rPr>
                <w:rFonts w:ascii="宋体" w:hAnsi="宋体" w:eastAsia="宋体"/>
                <w:sz w:val="16"/>
              </w:rPr>
              <w:t>—</w:t>
            </w:r>
          </w:p>
        </w:tc>
      </w:tr>
      <w:tr w14:paraId="3D974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15A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66B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C0F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7EC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1EC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E6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F27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0839">
            <w:pPr>
              <w:jc w:val="center"/>
            </w:pPr>
            <w:r>
              <w:rPr>
                <w:rFonts w:ascii="宋体" w:hAnsi="宋体" w:eastAsia="宋体"/>
                <w:sz w:val="16"/>
              </w:rPr>
              <w:t>—</w:t>
            </w:r>
          </w:p>
        </w:tc>
      </w:tr>
      <w:tr w14:paraId="412C2D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D222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7040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DFACB8">
            <w:pPr>
              <w:jc w:val="center"/>
            </w:pPr>
            <w:r>
              <w:rPr>
                <w:rFonts w:ascii="宋体" w:hAnsi="宋体" w:eastAsia="宋体"/>
                <w:sz w:val="16"/>
              </w:rPr>
              <w:t>实际完成情况</w:t>
            </w:r>
          </w:p>
        </w:tc>
      </w:tr>
      <w:tr w14:paraId="5F44B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AA9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8B7CE">
            <w:pPr>
              <w:jc w:val="both"/>
            </w:pPr>
            <w:r>
              <w:rPr>
                <w:rFonts w:ascii="宋体" w:hAnsi="宋体" w:eastAsia="宋体"/>
                <w:sz w:val="16"/>
              </w:rPr>
              <w:t>岳普湖县1家企业为色也克乡采购辣椒烘干设备进行补贴，项目的实施进一步促进乡镇农民增收。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2CA63A">
            <w:pPr>
              <w:jc w:val="both"/>
            </w:pPr>
            <w:r>
              <w:rPr>
                <w:rFonts w:ascii="宋体" w:hAnsi="宋体" w:eastAsia="宋体"/>
                <w:sz w:val="16"/>
              </w:rPr>
              <w:t>已完成岳普湖县1家企业为色也克乡采购辣椒烘干设备的补贴发放，预算执行率为100%。项目的实施进一步促进乡镇农民增收。受益补贴企业满意度为100%。</w:t>
            </w:r>
          </w:p>
        </w:tc>
      </w:tr>
      <w:tr w14:paraId="1AB04F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9FF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422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63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A0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57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EB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2C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D1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3BB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A3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508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BC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C28AD">
            <w:pPr>
              <w:jc w:val="center"/>
            </w:pPr>
            <w:r>
              <w:rPr>
                <w:rFonts w:ascii="宋体" w:hAnsi="宋体" w:eastAsia="宋体"/>
                <w:sz w:val="16"/>
              </w:rPr>
              <w:t>偏差原因分析及改进措施</w:t>
            </w:r>
          </w:p>
        </w:tc>
      </w:tr>
      <w:tr w14:paraId="71101F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C25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755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13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E572">
            <w:pPr>
              <w:jc w:val="center"/>
            </w:pPr>
            <w:r>
              <w:rPr>
                <w:rFonts w:ascii="宋体" w:hAnsi="宋体" w:eastAsia="宋体"/>
                <w:sz w:val="16"/>
              </w:rPr>
              <w:t>补贴企业数量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85DD">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CD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6F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9E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B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9B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481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93F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F6CA4">
            <w:pPr>
              <w:jc w:val="center"/>
            </w:pPr>
          </w:p>
        </w:tc>
      </w:tr>
      <w:tr w14:paraId="58462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27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1B1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F12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4E16">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174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E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DA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81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6D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C7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5A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80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D9E8A">
            <w:pPr>
              <w:jc w:val="center"/>
            </w:pPr>
          </w:p>
        </w:tc>
      </w:tr>
      <w:tr w14:paraId="068A5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E4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B8C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A36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03B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F3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A2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A6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5F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2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BF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2C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5BD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C1825">
            <w:pPr>
              <w:jc w:val="center"/>
            </w:pPr>
          </w:p>
        </w:tc>
      </w:tr>
      <w:tr w14:paraId="2D299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BA9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E75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326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387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3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8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85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97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AD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8C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1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33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80E35">
            <w:pPr>
              <w:jc w:val="center"/>
            </w:pPr>
          </w:p>
        </w:tc>
      </w:tr>
      <w:tr w14:paraId="110F9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488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C75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98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3E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1D0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D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B1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AC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A8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67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02C0">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A1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B52AF">
            <w:pPr>
              <w:jc w:val="center"/>
            </w:pPr>
          </w:p>
        </w:tc>
      </w:tr>
      <w:tr w14:paraId="4B897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31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165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9B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F91D">
            <w:pPr>
              <w:jc w:val="center"/>
            </w:pPr>
            <w:r>
              <w:rPr>
                <w:rFonts w:ascii="宋体" w:hAnsi="宋体" w:eastAsia="宋体"/>
                <w:sz w:val="16"/>
              </w:rPr>
              <w:t>补助企业发放预算控制数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FD77">
            <w:pPr>
              <w:jc w:val="center"/>
            </w:pPr>
            <w:r>
              <w:rPr>
                <w:rFonts w:ascii="宋体" w:hAnsi="宋体" w:eastAsia="宋体"/>
                <w:sz w:val="16"/>
              </w:rPr>
              <w:t>&lt;=146.84万元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02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56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97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C4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24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79E6">
            <w:pPr>
              <w:jc w:val="center"/>
            </w:pPr>
            <w:r>
              <w:rPr>
                <w:rFonts w:ascii="宋体" w:hAnsi="宋体" w:eastAsia="宋体"/>
                <w:sz w:val="16"/>
              </w:rPr>
              <w:t>=146.84万元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85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58EF1">
            <w:pPr>
              <w:jc w:val="center"/>
            </w:pPr>
          </w:p>
        </w:tc>
      </w:tr>
      <w:tr w14:paraId="7CFA01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EB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76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05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CBFC">
            <w:pPr>
              <w:jc w:val="center"/>
            </w:pPr>
            <w:r>
              <w:rPr>
                <w:rFonts w:ascii="宋体" w:hAnsi="宋体" w:eastAsia="宋体"/>
                <w:sz w:val="16"/>
              </w:rPr>
              <w:t>促进乡镇农民增收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B95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51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A7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2A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2D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38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972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D49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CC32C">
            <w:pPr>
              <w:jc w:val="center"/>
            </w:pPr>
          </w:p>
        </w:tc>
      </w:tr>
      <w:tr w14:paraId="75E05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66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20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A7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4652">
            <w:pPr>
              <w:jc w:val="center"/>
            </w:pPr>
            <w:r>
              <w:rPr>
                <w:rFonts w:ascii="宋体" w:hAnsi="宋体" w:eastAsia="宋体"/>
                <w:sz w:val="16"/>
              </w:rPr>
              <w:t>受益补贴企业满意度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A46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AC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7B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C4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8A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C1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1D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42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31DB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6CAE1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7208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68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D097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094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F1BD29"/>
        </w:tc>
      </w:tr>
    </w:tbl>
    <w:p w14:paraId="6C6E88B8">
      <w:r>
        <w:br w:type="page"/>
      </w:r>
    </w:p>
    <w:p w14:paraId="25608E64">
      <w:pPr>
        <w:spacing w:line="640" w:lineRule="exact"/>
        <w:ind w:firstLine="640"/>
        <w:jc w:val="both"/>
        <w:outlineLvl w:val="2"/>
      </w:pPr>
      <w:r>
        <w:rPr>
          <w:rFonts w:ascii="黑体" w:hAnsi="黑体" w:eastAsia="黑体"/>
          <w:sz w:val="32"/>
        </w:rPr>
        <w:t>十二、其他需说明的事项</w:t>
      </w:r>
    </w:p>
    <w:p w14:paraId="7C42B812">
      <w:pPr>
        <w:spacing w:line="580" w:lineRule="exact"/>
        <w:ind w:firstLine="640"/>
        <w:jc w:val="both"/>
      </w:pPr>
      <w:r>
        <w:rPr>
          <w:rFonts w:ascii="仿宋_GB2312" w:hAnsi="仿宋_GB2312" w:eastAsia="仿宋_GB2312"/>
          <w:b w:val="0"/>
          <w:sz w:val="32"/>
        </w:rPr>
        <w:t>本单位无其他需说明的事项。</w:t>
      </w:r>
    </w:p>
    <w:p w14:paraId="5B264D46">
      <w:r>
        <w:br w:type="page"/>
      </w:r>
    </w:p>
    <w:p w14:paraId="0CBB9349">
      <w:pPr>
        <w:spacing w:line="240" w:lineRule="auto"/>
        <w:jc w:val="center"/>
        <w:outlineLvl w:val="1"/>
      </w:pPr>
      <w:r>
        <w:rPr>
          <w:rFonts w:ascii="黑体" w:hAnsi="黑体" w:eastAsia="黑体"/>
          <w:sz w:val="32"/>
        </w:rPr>
        <w:t>第三部分 专业名词解释</w:t>
      </w:r>
    </w:p>
    <w:p w14:paraId="40A53E5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48FB41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0A2FD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70336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5DBA9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6605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4398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4CB10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24213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04313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AD58DF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34CF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DA64D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7B5BE5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97CB4D">
      <w:r>
        <w:br w:type="page"/>
      </w:r>
    </w:p>
    <w:p w14:paraId="4EB86306">
      <w:pPr>
        <w:spacing w:line="240" w:lineRule="auto"/>
        <w:jc w:val="center"/>
        <w:outlineLvl w:val="1"/>
      </w:pPr>
      <w:r>
        <w:rPr>
          <w:rFonts w:ascii="黑体" w:hAnsi="黑体" w:eastAsia="黑体"/>
          <w:sz w:val="32"/>
        </w:rPr>
        <w:t>第四部分 部门决算报表（见附表）</w:t>
      </w:r>
    </w:p>
    <w:p w14:paraId="4F51E2E1">
      <w:pPr>
        <w:spacing w:line="240" w:lineRule="auto"/>
        <w:ind w:firstLine="640"/>
        <w:jc w:val="both"/>
      </w:pPr>
      <w:r>
        <w:rPr>
          <w:rFonts w:ascii="仿宋_GB2312" w:hAnsi="仿宋_GB2312" w:eastAsia="仿宋_GB2312"/>
          <w:b w:val="0"/>
          <w:sz w:val="32"/>
        </w:rPr>
        <w:t>一、《收入支出决算总表》</w:t>
      </w:r>
    </w:p>
    <w:p w14:paraId="30ECC839">
      <w:pPr>
        <w:spacing w:line="240" w:lineRule="auto"/>
        <w:ind w:firstLine="640"/>
        <w:jc w:val="both"/>
      </w:pPr>
      <w:r>
        <w:rPr>
          <w:rFonts w:ascii="仿宋_GB2312" w:hAnsi="仿宋_GB2312" w:eastAsia="仿宋_GB2312"/>
          <w:b w:val="0"/>
          <w:sz w:val="32"/>
        </w:rPr>
        <w:t>二、《收入决算表》</w:t>
      </w:r>
    </w:p>
    <w:p w14:paraId="1C692B7F">
      <w:pPr>
        <w:spacing w:line="240" w:lineRule="auto"/>
        <w:ind w:firstLine="640"/>
        <w:jc w:val="both"/>
      </w:pPr>
      <w:r>
        <w:rPr>
          <w:rFonts w:ascii="仿宋_GB2312" w:hAnsi="仿宋_GB2312" w:eastAsia="仿宋_GB2312"/>
          <w:b w:val="0"/>
          <w:sz w:val="32"/>
        </w:rPr>
        <w:t>三、《支出决算表》</w:t>
      </w:r>
    </w:p>
    <w:p w14:paraId="3D524321">
      <w:pPr>
        <w:spacing w:line="240" w:lineRule="auto"/>
        <w:ind w:firstLine="640"/>
        <w:jc w:val="both"/>
      </w:pPr>
      <w:r>
        <w:rPr>
          <w:rFonts w:ascii="仿宋_GB2312" w:hAnsi="仿宋_GB2312" w:eastAsia="仿宋_GB2312"/>
          <w:b w:val="0"/>
          <w:sz w:val="32"/>
        </w:rPr>
        <w:t>四、《财政拨款收入支出决算总表》</w:t>
      </w:r>
    </w:p>
    <w:p w14:paraId="68A3DB41">
      <w:pPr>
        <w:spacing w:line="240" w:lineRule="auto"/>
        <w:ind w:firstLine="640"/>
        <w:jc w:val="both"/>
      </w:pPr>
      <w:r>
        <w:rPr>
          <w:rFonts w:ascii="仿宋_GB2312" w:hAnsi="仿宋_GB2312" w:eastAsia="仿宋_GB2312"/>
          <w:b w:val="0"/>
          <w:sz w:val="32"/>
        </w:rPr>
        <w:t>五、《一般公共预算财政拨款支出决算表》</w:t>
      </w:r>
    </w:p>
    <w:p w14:paraId="2EBDD1DA">
      <w:pPr>
        <w:spacing w:line="240" w:lineRule="auto"/>
        <w:ind w:firstLine="640"/>
        <w:jc w:val="both"/>
      </w:pPr>
      <w:r>
        <w:rPr>
          <w:rFonts w:ascii="仿宋_GB2312" w:hAnsi="仿宋_GB2312" w:eastAsia="仿宋_GB2312"/>
          <w:b w:val="0"/>
          <w:sz w:val="32"/>
        </w:rPr>
        <w:t>六、《一般公共预算财政拨款基本支出决算表》</w:t>
      </w:r>
    </w:p>
    <w:p w14:paraId="133514D5">
      <w:pPr>
        <w:spacing w:line="240" w:lineRule="auto"/>
        <w:ind w:firstLine="640"/>
        <w:jc w:val="both"/>
      </w:pPr>
      <w:r>
        <w:rPr>
          <w:rFonts w:ascii="仿宋_GB2312" w:hAnsi="仿宋_GB2312" w:eastAsia="仿宋_GB2312"/>
          <w:b w:val="0"/>
          <w:sz w:val="32"/>
        </w:rPr>
        <w:t>七、《政府性基金预算财政拨款收入支出决算表》</w:t>
      </w:r>
    </w:p>
    <w:p w14:paraId="7242B10F">
      <w:pPr>
        <w:spacing w:line="240" w:lineRule="auto"/>
        <w:ind w:firstLine="640"/>
        <w:jc w:val="both"/>
      </w:pPr>
      <w:r>
        <w:rPr>
          <w:rFonts w:ascii="仿宋_GB2312" w:hAnsi="仿宋_GB2312" w:eastAsia="仿宋_GB2312"/>
          <w:b w:val="0"/>
          <w:sz w:val="32"/>
        </w:rPr>
        <w:t>八、《国有资本经营预算财政拨款收入支出决算表》</w:t>
      </w:r>
    </w:p>
    <w:p w14:paraId="5B0470F1">
      <w:pPr>
        <w:spacing w:line="240" w:lineRule="auto"/>
        <w:ind w:firstLine="640"/>
        <w:jc w:val="both"/>
      </w:pPr>
      <w:r>
        <w:rPr>
          <w:rFonts w:ascii="仿宋_GB2312" w:hAnsi="仿宋_GB2312" w:eastAsia="仿宋_GB2312"/>
          <w:b w:val="0"/>
          <w:sz w:val="32"/>
        </w:rPr>
        <w:t>九、《财政拨款“三公”经费支出决算表》</w:t>
      </w:r>
    </w:p>
    <w:p w14:paraId="5C50E615">
      <w:pPr>
        <w:spacing w:line="240" w:lineRule="auto"/>
        <w:ind w:firstLine="640"/>
        <w:jc w:val="both"/>
      </w:pPr>
    </w:p>
    <w:p w14:paraId="4A3E8EAC">
      <w:pPr>
        <w:spacing w:line="240" w:lineRule="auto"/>
        <w:ind w:firstLine="640"/>
        <w:jc w:val="both"/>
      </w:pPr>
    </w:p>
    <w:p w14:paraId="0A07EFD4">
      <w:pPr>
        <w:spacing w:line="240" w:lineRule="auto"/>
        <w:ind w:firstLine="640"/>
        <w:jc w:val="both"/>
      </w:pPr>
    </w:p>
    <w:p w14:paraId="602B302A">
      <w:pPr>
        <w:spacing w:line="240" w:lineRule="auto"/>
        <w:ind w:firstLine="640"/>
        <w:jc w:val="both"/>
      </w:pPr>
    </w:p>
    <w:p w14:paraId="420653A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9A6E21-F9B8-499F-90A0-038371F5ED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19E4C79-444E-4F9A-9AA5-DA6175B8C01D}"/>
  </w:font>
  <w:font w:name="仿宋_GB2312">
    <w:panose1 w:val="02010609030101010101"/>
    <w:charset w:val="86"/>
    <w:family w:val="modern"/>
    <w:pitch w:val="default"/>
    <w:sig w:usb0="00000001" w:usb1="080E0000" w:usb2="00000000" w:usb3="00000000" w:csb0="00040000" w:csb1="00000000"/>
    <w:embedRegular r:id="rId3" w:fontKey="{C37AC604-BA44-4E0B-8151-9B1203AB3921}"/>
  </w:font>
  <w:font w:name="楷体_GB2312">
    <w:panose1 w:val="02010609030101010101"/>
    <w:charset w:val="86"/>
    <w:family w:val="auto"/>
    <w:pitch w:val="default"/>
    <w:sig w:usb0="00000001" w:usb1="080E0000" w:usb2="00000000" w:usb3="00000000" w:csb0="00040000" w:csb1="00000000"/>
    <w:embedRegular r:id="rId4" w:fontKey="{121569FF-9ABC-497A-8D97-4E26858122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C81743"/>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C3780D"/>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5962</Words>
  <Characters>6857</Characters>
  <Lines>0</Lines>
  <Paragraphs>0</Paragraphs>
  <TotalTime>3</TotalTime>
  <ScaleCrop>false</ScaleCrop>
  <LinksUpToDate>false</LinksUpToDate>
  <CharactersWithSpaces>6865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2025-09-12T11:21:18Z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