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4C62494">
      <w:r>
        <w:br w:type="page"/>
      </w:r>
    </w:p>
    <w:p w14:paraId="358228E9">
      <w:pPr>
        <w:spacing w:line="640" w:lineRule="exact"/>
        <w:jc w:val="center"/>
        <w:outlineLvl w:val="1"/>
      </w:pPr>
      <w:r>
        <w:rPr>
          <w:rFonts w:ascii="黑体" w:hAnsi="黑体" w:eastAsia="黑体"/>
          <w:sz w:val="32"/>
        </w:rPr>
        <w:t>第一部分 单位概况</w:t>
      </w:r>
    </w:p>
    <w:p w14:paraId="1420E653">
      <w:pPr>
        <w:spacing w:line="640" w:lineRule="exact"/>
        <w:ind w:firstLine="640"/>
        <w:jc w:val="both"/>
        <w:outlineLvl w:val="2"/>
      </w:pPr>
      <w:r>
        <w:rPr>
          <w:rFonts w:ascii="黑体" w:hAnsi="黑体" w:eastAsia="黑体"/>
          <w:sz w:val="32"/>
        </w:rPr>
        <w:t>一、主要职能</w:t>
      </w:r>
    </w:p>
    <w:p w14:paraId="3AFA8428">
      <w:pPr>
        <w:spacing w:line="580" w:lineRule="exact"/>
        <w:ind w:firstLine="640"/>
        <w:jc w:val="both"/>
      </w:pPr>
      <w:r>
        <w:rPr>
          <w:rFonts w:ascii="仿宋_GB2312" w:hAnsi="仿宋_GB2312" w:eastAsia="仿宋_GB2312"/>
          <w:sz w:val="32"/>
        </w:rPr>
        <w:t>负责宣传监督检查生产经营单位贯彻执行安全生产法律法规、标准情况；依法查处危险化学品、非煤矿山、工贸企业领域安全生产违法违规行为；依法监督检查生产经营单位重大危险源监控和重大事故隐患治理情况；参与应急救援工作以及地质灾害、水旱灾害、灾害救助、防震减灾等方面行政处罚、行政强制职能。</w:t>
      </w:r>
    </w:p>
    <w:p w14:paraId="4641D62D">
      <w:pPr>
        <w:spacing w:line="640" w:lineRule="exact"/>
        <w:ind w:firstLine="640"/>
        <w:jc w:val="both"/>
        <w:outlineLvl w:val="2"/>
      </w:pPr>
      <w:r>
        <w:rPr>
          <w:rFonts w:ascii="黑体" w:hAnsi="黑体" w:eastAsia="黑体"/>
          <w:sz w:val="32"/>
        </w:rPr>
        <w:t>二、机构设置及人员情况</w:t>
      </w:r>
    </w:p>
    <w:p w14:paraId="05CC5E77">
      <w:pPr>
        <w:spacing w:line="580" w:lineRule="exact"/>
        <w:ind w:firstLine="640"/>
        <w:jc w:val="both"/>
      </w:pPr>
      <w:r>
        <w:rPr>
          <w:rFonts w:ascii="仿宋_GB2312" w:hAnsi="仿宋_GB2312" w:eastAsia="仿宋_GB2312"/>
          <w:sz w:val="32"/>
        </w:rPr>
        <w:t>岳普湖县应急管理局2024年度，实有人数20人，其中：在职人员19人，增加3人；离休人员0人，增加0人；退休人员1人,增加0人。</w:t>
      </w:r>
    </w:p>
    <w:p w14:paraId="3A433317">
      <w:pPr>
        <w:spacing w:line="580" w:lineRule="exact"/>
        <w:ind w:firstLine="640"/>
        <w:jc w:val="both"/>
      </w:pPr>
      <w:r>
        <w:rPr>
          <w:rFonts w:ascii="仿宋_GB2312" w:hAnsi="仿宋_GB2312" w:eastAsia="仿宋_GB2312"/>
          <w:sz w:val="32"/>
        </w:rPr>
        <w:t>岳普湖县应急管理局无下属预算单位，下设4个科室，分别是：办公室、安全生产股、防灾减灾股、应急管理股。</w:t>
      </w:r>
    </w:p>
    <w:p w14:paraId="3C5F8698">
      <w:r>
        <w:br w:type="page"/>
      </w:r>
    </w:p>
    <w:p w14:paraId="718A15A0">
      <w:pPr>
        <w:spacing w:line="240" w:lineRule="auto"/>
        <w:jc w:val="center"/>
        <w:outlineLvl w:val="1"/>
      </w:pPr>
      <w:r>
        <w:rPr>
          <w:rFonts w:ascii="黑体" w:hAnsi="黑体" w:eastAsia="黑体"/>
          <w:sz w:val="32"/>
        </w:rPr>
        <w:t>第二部分 部门决算情况说明</w:t>
      </w:r>
    </w:p>
    <w:p w14:paraId="7C3F54D6">
      <w:pPr>
        <w:spacing w:line="640" w:lineRule="exact"/>
        <w:ind w:firstLine="640"/>
        <w:jc w:val="both"/>
        <w:outlineLvl w:val="2"/>
      </w:pPr>
      <w:r>
        <w:rPr>
          <w:rFonts w:ascii="黑体" w:hAnsi="黑体" w:eastAsia="黑体"/>
          <w:sz w:val="32"/>
        </w:rPr>
        <w:t>一、收入支出决算总体情况说明</w:t>
      </w:r>
    </w:p>
    <w:p w14:paraId="05A74E85">
      <w:pPr>
        <w:spacing w:line="580" w:lineRule="exact"/>
        <w:ind w:firstLine="640"/>
        <w:jc w:val="both"/>
      </w:pPr>
      <w:r>
        <w:rPr>
          <w:rFonts w:ascii="仿宋_GB2312" w:hAnsi="仿宋_GB2312" w:eastAsia="仿宋_GB2312"/>
          <w:b/>
          <w:sz w:val="32"/>
        </w:rPr>
        <w:t>2024年度收入总计407.56万元，</w:t>
      </w:r>
      <w:r>
        <w:rPr>
          <w:rFonts w:ascii="仿宋_GB2312" w:hAnsi="仿宋_GB2312" w:eastAsia="仿宋_GB2312"/>
          <w:b w:val="0"/>
          <w:sz w:val="32"/>
        </w:rPr>
        <w:t>其中：本年收入合计407.56万元，使用非财政拨款结余（含专用结余）0.00万元，年初结转和结余0.00万元。</w:t>
      </w:r>
    </w:p>
    <w:p w14:paraId="648D13B9">
      <w:pPr>
        <w:spacing w:line="580" w:lineRule="exact"/>
        <w:ind w:firstLine="640"/>
        <w:jc w:val="both"/>
      </w:pPr>
      <w:r>
        <w:rPr>
          <w:rFonts w:ascii="仿宋_GB2312" w:hAnsi="仿宋_GB2312" w:eastAsia="仿宋_GB2312"/>
          <w:b/>
          <w:sz w:val="32"/>
        </w:rPr>
        <w:t>2024年度支出总计407.56万元，</w:t>
      </w:r>
      <w:r>
        <w:rPr>
          <w:rFonts w:ascii="仿宋_GB2312" w:hAnsi="仿宋_GB2312" w:eastAsia="仿宋_GB2312"/>
          <w:b w:val="0"/>
          <w:sz w:val="32"/>
        </w:rPr>
        <w:t>其中：本年支出合计407.56万元，结余分配0.00万元，年末结转和结余0.00万元。</w:t>
      </w:r>
    </w:p>
    <w:p w14:paraId="23E452A9">
      <w:pPr>
        <w:spacing w:line="580" w:lineRule="exact"/>
        <w:ind w:firstLine="640"/>
        <w:jc w:val="both"/>
      </w:pPr>
      <w:r>
        <w:rPr>
          <w:rFonts w:ascii="仿宋_GB2312" w:hAnsi="仿宋_GB2312" w:eastAsia="仿宋_GB2312"/>
          <w:b w:val="0"/>
          <w:sz w:val="32"/>
        </w:rPr>
        <w:t>收入支出总体与上年相比，减少14.22万元，下降3.37%，主要原因是：本年减少其他资金</w:t>
      </w:r>
      <w:r>
        <w:rPr>
          <w:rFonts w:hint="eastAsia" w:ascii="仿宋_GB2312" w:hAnsi="仿宋_GB2312" w:eastAsia="仿宋_GB2312"/>
          <w:b w:val="0"/>
          <w:sz w:val="32"/>
          <w:lang w:eastAsia="zh-CN"/>
        </w:rPr>
        <w:t>－</w:t>
      </w:r>
      <w:r>
        <w:rPr>
          <w:rFonts w:ascii="仿宋_GB2312" w:hAnsi="仿宋_GB2312" w:eastAsia="仿宋_GB2312"/>
          <w:b w:val="0"/>
          <w:sz w:val="32"/>
        </w:rPr>
        <w:t>冬春救灾补助、消防车购买资金。</w:t>
      </w:r>
    </w:p>
    <w:p w14:paraId="4C919DC1">
      <w:pPr>
        <w:spacing w:line="640" w:lineRule="exact"/>
        <w:ind w:firstLine="640"/>
        <w:jc w:val="both"/>
        <w:outlineLvl w:val="2"/>
      </w:pPr>
      <w:r>
        <w:rPr>
          <w:rFonts w:ascii="黑体" w:hAnsi="黑体" w:eastAsia="黑体"/>
          <w:sz w:val="32"/>
        </w:rPr>
        <w:t>二、收入决算情况说明</w:t>
      </w:r>
    </w:p>
    <w:p w14:paraId="6F528334">
      <w:pPr>
        <w:spacing w:line="580" w:lineRule="exact"/>
        <w:ind w:firstLine="640"/>
        <w:jc w:val="both"/>
      </w:pPr>
      <w:r>
        <w:rPr>
          <w:rFonts w:ascii="仿宋_GB2312" w:hAnsi="仿宋_GB2312" w:eastAsia="仿宋_GB2312"/>
          <w:b/>
          <w:sz w:val="32"/>
        </w:rPr>
        <w:t>本年收入407.56万元，</w:t>
      </w:r>
      <w:r>
        <w:rPr>
          <w:rFonts w:ascii="仿宋_GB2312" w:hAnsi="仿宋_GB2312" w:eastAsia="仿宋_GB2312"/>
          <w:b w:val="0"/>
          <w:sz w:val="32"/>
        </w:rPr>
        <w:t>其中：财政拨款收入407.56万元，占100.00%；上级补助收入0.00万元，占0.00%；事业收入0.00万元，占0.00%；经营收入0.00万元，占0.00%；附属单位上缴收入0.00万元，占0.00%；其他收入0.00万元，占0.00%。</w:t>
      </w:r>
    </w:p>
    <w:p w14:paraId="431A33B0">
      <w:pPr>
        <w:spacing w:line="640" w:lineRule="exact"/>
        <w:ind w:firstLine="640"/>
        <w:jc w:val="both"/>
        <w:outlineLvl w:val="2"/>
      </w:pPr>
      <w:r>
        <w:rPr>
          <w:rFonts w:ascii="黑体" w:hAnsi="黑体" w:eastAsia="黑体"/>
          <w:sz w:val="32"/>
        </w:rPr>
        <w:t>三、支出决算情况说明</w:t>
      </w:r>
    </w:p>
    <w:p w14:paraId="1D2DE945">
      <w:pPr>
        <w:spacing w:line="580" w:lineRule="exact"/>
        <w:ind w:firstLine="640"/>
        <w:jc w:val="both"/>
      </w:pPr>
      <w:r>
        <w:rPr>
          <w:rFonts w:ascii="仿宋_GB2312" w:hAnsi="仿宋_GB2312" w:eastAsia="仿宋_GB2312"/>
          <w:b/>
          <w:sz w:val="32"/>
        </w:rPr>
        <w:t>本年支出407.56万元，</w:t>
      </w:r>
      <w:r>
        <w:rPr>
          <w:rFonts w:ascii="仿宋_GB2312" w:hAnsi="仿宋_GB2312" w:eastAsia="仿宋_GB2312"/>
          <w:b w:val="0"/>
          <w:sz w:val="32"/>
        </w:rPr>
        <w:t>其中：基本支出289.01万元，占70.91%；项目支出118.55万元，占29.09%；上缴上级支出0.00万元，占0.00%；经营支出0.00万元，占0.00%；对附属单位补助支出0.00万元，占0.00%。</w:t>
      </w:r>
    </w:p>
    <w:p w14:paraId="22310961">
      <w:pPr>
        <w:spacing w:line="640" w:lineRule="exact"/>
        <w:ind w:firstLine="640"/>
        <w:jc w:val="both"/>
        <w:outlineLvl w:val="2"/>
      </w:pPr>
      <w:r>
        <w:rPr>
          <w:rFonts w:ascii="黑体" w:hAnsi="黑体" w:eastAsia="黑体"/>
          <w:sz w:val="32"/>
        </w:rPr>
        <w:t>四、财政拨款收入支出决算总体情况说明</w:t>
      </w:r>
    </w:p>
    <w:p w14:paraId="5209869A">
      <w:pPr>
        <w:spacing w:line="580" w:lineRule="exact"/>
        <w:ind w:firstLine="640"/>
        <w:jc w:val="both"/>
      </w:pPr>
      <w:r>
        <w:rPr>
          <w:rFonts w:ascii="仿宋_GB2312" w:hAnsi="仿宋_GB2312" w:eastAsia="仿宋_GB2312"/>
          <w:b/>
          <w:sz w:val="32"/>
        </w:rPr>
        <w:t>2024年度财政拨款收入总计407.56万元，</w:t>
      </w:r>
      <w:r>
        <w:rPr>
          <w:rFonts w:ascii="仿宋_GB2312" w:hAnsi="仿宋_GB2312" w:eastAsia="仿宋_GB2312"/>
          <w:b w:val="0"/>
          <w:sz w:val="32"/>
        </w:rPr>
        <w:t>其中：年初财政拨款结转和结余0.00万元，本年财政拨款收入407.56万元。</w:t>
      </w:r>
      <w:r>
        <w:rPr>
          <w:rFonts w:ascii="仿宋_GB2312" w:hAnsi="仿宋_GB2312" w:eastAsia="仿宋_GB2312"/>
          <w:b/>
          <w:sz w:val="32"/>
        </w:rPr>
        <w:t>财政拨款支出总计407.56万元，</w:t>
      </w:r>
      <w:r>
        <w:rPr>
          <w:rFonts w:ascii="仿宋_GB2312" w:hAnsi="仿宋_GB2312" w:eastAsia="仿宋_GB2312"/>
          <w:b w:val="0"/>
          <w:sz w:val="32"/>
        </w:rPr>
        <w:t>其中：年末财政拨款结转和结余0.00万元，本年财政拨款支出407.56万元。</w:t>
      </w:r>
    </w:p>
    <w:p w14:paraId="7C8BDCC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增加110.62万元，增长37.25%，主要原因是：本年在职人员工资调增，社保、公积金基数调增，人员经费增加；增加岳普湖县应急管理局采购举高喷射消防车项目、冬春临时生活困难救助项目。</w:t>
      </w:r>
      <w:r>
        <w:rPr>
          <w:rFonts w:ascii="仿宋_GB2312" w:hAnsi="仿宋_GB2312" w:eastAsia="仿宋_GB2312"/>
          <w:b/>
          <w:sz w:val="32"/>
        </w:rPr>
        <w:t>与年初预算相比，</w:t>
      </w:r>
      <w:r>
        <w:rPr>
          <w:rFonts w:ascii="仿宋_GB2312" w:hAnsi="仿宋_GB2312" w:eastAsia="仿宋_GB2312"/>
          <w:b w:val="0"/>
          <w:sz w:val="32"/>
        </w:rPr>
        <w:t>年初预算数397.20万元，决算数407.56万元，预决算差异率2.61%，主要原因是：本年在职人员增加，年中追加人员经费及人员工资、社保、公积金基数调增部分资金，导致预决算存在差异。</w:t>
      </w:r>
    </w:p>
    <w:p w14:paraId="2D42A30E">
      <w:pPr>
        <w:spacing w:line="640" w:lineRule="exact"/>
        <w:ind w:firstLine="640"/>
        <w:jc w:val="both"/>
        <w:outlineLvl w:val="2"/>
      </w:pPr>
      <w:r>
        <w:rPr>
          <w:rFonts w:ascii="黑体" w:hAnsi="黑体" w:eastAsia="黑体"/>
          <w:sz w:val="32"/>
        </w:rPr>
        <w:t>五、一般公共预算财政拨款支出决算情况说明</w:t>
      </w:r>
    </w:p>
    <w:p w14:paraId="431B810A">
      <w:pPr>
        <w:spacing w:line="640" w:lineRule="exact"/>
        <w:ind w:firstLine="640"/>
        <w:jc w:val="both"/>
        <w:outlineLvl w:val="3"/>
      </w:pPr>
      <w:r>
        <w:rPr>
          <w:rFonts w:ascii="楷体_GB2312" w:hAnsi="楷体_GB2312" w:eastAsia="楷体_GB2312"/>
          <w:b/>
          <w:sz w:val="32"/>
        </w:rPr>
        <w:t>（一）一般公共预算财政拨款支出决算总体情况</w:t>
      </w:r>
    </w:p>
    <w:p w14:paraId="03B38CE4">
      <w:pPr>
        <w:spacing w:line="580" w:lineRule="exact"/>
        <w:ind w:firstLine="640"/>
        <w:jc w:val="both"/>
      </w:pPr>
      <w:r>
        <w:rPr>
          <w:rFonts w:ascii="仿宋_GB2312" w:hAnsi="仿宋_GB2312" w:eastAsia="仿宋_GB2312"/>
          <w:b/>
          <w:sz w:val="32"/>
        </w:rPr>
        <w:t>2024年度一般公共预算财政拨款支出407.56万元，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增加110.62万元，增长37.25%，主要原因是：本年在职人员工资调增，社保、公积金基数调增，人员经费增加；增加岳普湖县应急管理局采购举高喷射消防车项目、冬春临时生活困难救助项目。</w:t>
      </w:r>
      <w:r>
        <w:rPr>
          <w:rFonts w:ascii="仿宋_GB2312" w:hAnsi="仿宋_GB2312" w:eastAsia="仿宋_GB2312"/>
          <w:b/>
          <w:sz w:val="32"/>
        </w:rPr>
        <w:t>与年初预算相比,</w:t>
      </w:r>
      <w:r>
        <w:rPr>
          <w:rFonts w:ascii="仿宋_GB2312" w:hAnsi="仿宋_GB2312" w:eastAsia="仿宋_GB2312"/>
          <w:b w:val="0"/>
          <w:sz w:val="32"/>
        </w:rPr>
        <w:t>年初预算数397.20万元，决算数407.56万元，预决算差异率2.61%，主要原因是：本年在职人员增加，年中追加人员经费及人员工资、社保、公积金基数调增部分资金，导致预决算存在差异。</w:t>
      </w:r>
    </w:p>
    <w:p w14:paraId="7A6C23A1">
      <w:pPr>
        <w:spacing w:line="640" w:lineRule="exact"/>
        <w:ind w:firstLine="640"/>
        <w:jc w:val="both"/>
        <w:outlineLvl w:val="3"/>
      </w:pPr>
      <w:r>
        <w:rPr>
          <w:rFonts w:ascii="楷体_GB2312" w:hAnsi="楷体_GB2312" w:eastAsia="楷体_GB2312"/>
          <w:b/>
          <w:sz w:val="32"/>
        </w:rPr>
        <w:t>（二）一般公共预算财政拨款支出决算结构情况</w:t>
      </w:r>
    </w:p>
    <w:p w14:paraId="184A6693">
      <w:pPr>
        <w:spacing w:line="580" w:lineRule="exact"/>
        <w:ind w:firstLine="640"/>
        <w:jc w:val="both"/>
      </w:pPr>
      <w:r>
        <w:rPr>
          <w:rFonts w:ascii="仿宋_GB2312" w:hAnsi="仿宋_GB2312" w:eastAsia="仿宋_GB2312"/>
          <w:b w:val="0"/>
          <w:sz w:val="32"/>
        </w:rPr>
        <w:t>1.社会保障和就业支出(类)28.31万元,占6.95%。</w:t>
      </w:r>
    </w:p>
    <w:p w14:paraId="68E16A41">
      <w:pPr>
        <w:spacing w:line="580" w:lineRule="exact"/>
        <w:ind w:firstLine="640"/>
        <w:jc w:val="both"/>
      </w:pPr>
      <w:r>
        <w:rPr>
          <w:rFonts w:ascii="仿宋_GB2312" w:hAnsi="仿宋_GB2312" w:eastAsia="仿宋_GB2312"/>
          <w:b w:val="0"/>
          <w:sz w:val="32"/>
        </w:rPr>
        <w:t>2.卫生健康支出(类)12.99万元,占3.19%。</w:t>
      </w:r>
    </w:p>
    <w:p w14:paraId="6A128DCD">
      <w:pPr>
        <w:spacing w:line="580" w:lineRule="exact"/>
        <w:ind w:firstLine="640"/>
        <w:jc w:val="both"/>
      </w:pPr>
      <w:r>
        <w:rPr>
          <w:rFonts w:ascii="仿宋_GB2312" w:hAnsi="仿宋_GB2312" w:eastAsia="仿宋_GB2312"/>
          <w:b w:val="0"/>
          <w:sz w:val="32"/>
        </w:rPr>
        <w:t>3.住房保障支出(类)22.05万元,占5.41%。</w:t>
      </w:r>
    </w:p>
    <w:p w14:paraId="590A8853">
      <w:pPr>
        <w:spacing w:line="580" w:lineRule="exact"/>
        <w:ind w:firstLine="640"/>
        <w:jc w:val="both"/>
      </w:pPr>
      <w:r>
        <w:rPr>
          <w:rFonts w:ascii="仿宋_GB2312" w:hAnsi="仿宋_GB2312" w:eastAsia="仿宋_GB2312"/>
          <w:b w:val="0"/>
          <w:sz w:val="32"/>
        </w:rPr>
        <w:t>4.灾害防治及应急管理支出(类)344.20万元,占84.45%。</w:t>
      </w:r>
    </w:p>
    <w:p w14:paraId="6A91A6F5">
      <w:pPr>
        <w:spacing w:line="640" w:lineRule="exact"/>
        <w:ind w:firstLine="640"/>
        <w:jc w:val="both"/>
        <w:outlineLvl w:val="3"/>
      </w:pPr>
      <w:r>
        <w:rPr>
          <w:rFonts w:ascii="楷体_GB2312" w:hAnsi="楷体_GB2312" w:eastAsia="楷体_GB2312"/>
          <w:b/>
          <w:sz w:val="32"/>
        </w:rPr>
        <w:t>（三）一般公共预算财政拨款支出决算具体情况</w:t>
      </w:r>
    </w:p>
    <w:p w14:paraId="3241DC8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1.社会保障和就业支出(类)行政事业单位养老支出(款)行政单位离退休(项):支出决算数为1.16万元，比上年决算增加0.98万元，增长544.44%,主要原因是：本年增加退休人员基础绩效奖，退休费支出增加。</w:t>
      </w:r>
    </w:p>
    <w:p w14:paraId="792DECE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27.15万元，比上年决算增加3.64万元，增长15.48%,主要原因是：本年在职人员工资基数调增，养老缴费基数上涨，相应支出增加。</w:t>
      </w:r>
    </w:p>
    <w:p w14:paraId="3CFC77AF">
      <w:pPr>
        <w:spacing w:line="580" w:lineRule="exact"/>
        <w:ind w:firstLine="640"/>
        <w:jc w:val="both"/>
      </w:pPr>
      <w:r>
        <w:rPr>
          <w:rFonts w:ascii="仿宋_GB2312" w:hAnsi="仿宋_GB2312" w:eastAsia="仿宋_GB2312"/>
          <w:b w:val="0"/>
          <w:sz w:val="32"/>
        </w:rPr>
        <w:t>3.卫生健康支出(类)行政事业单位医疗(款)行政单位医疗(项):支出决算数为11.54万元，比上年决算增加1.23万元，增长11.93%,主要原因是：本年在职人员工资基数调增，医疗缴费基数上涨，相应支出增加。</w:t>
      </w:r>
    </w:p>
    <w:p w14:paraId="0C2DABB0">
      <w:pPr>
        <w:spacing w:line="580" w:lineRule="exact"/>
        <w:ind w:firstLine="640"/>
        <w:jc w:val="both"/>
      </w:pPr>
      <w:r>
        <w:rPr>
          <w:rFonts w:ascii="仿宋_GB2312" w:hAnsi="仿宋_GB2312" w:eastAsia="仿宋_GB2312"/>
          <w:b w:val="0"/>
          <w:sz w:val="32"/>
        </w:rPr>
        <w:t>4.卫生健康支出(类)行政事业单位医疗(款)公务员医疗补助(项):支出决算数为1.45万元，比上年决算减少0.13万元，下降8.23%,主要原因是：本年在职人员调入调出，人员职级不同，缴费基数不同，导致公务员医疗补助较上年减少。</w:t>
      </w:r>
    </w:p>
    <w:p w14:paraId="4FA34A20">
      <w:pPr>
        <w:spacing w:line="580" w:lineRule="exact"/>
        <w:ind w:firstLine="640"/>
        <w:jc w:val="both"/>
      </w:pPr>
      <w:r>
        <w:rPr>
          <w:rFonts w:ascii="仿宋_GB2312" w:hAnsi="仿宋_GB2312" w:eastAsia="仿宋_GB2312"/>
          <w:b w:val="0"/>
          <w:sz w:val="32"/>
        </w:rPr>
        <w:t>5.住房保障支出(类)住房改革支出(款)住房公积金(项):支出决算数为22.05万元，比上年决算增加3.01万元，增长15.81%,主要原因是：本年在职人员工资基数调增，公积金缴费基数上涨，相应支出增加。</w:t>
      </w:r>
    </w:p>
    <w:p w14:paraId="7DE892B9">
      <w:pPr>
        <w:spacing w:line="580" w:lineRule="exact"/>
        <w:ind w:firstLine="640"/>
        <w:jc w:val="both"/>
      </w:pPr>
      <w:r>
        <w:rPr>
          <w:rFonts w:ascii="仿宋_GB2312" w:hAnsi="仿宋_GB2312" w:eastAsia="仿宋_GB2312"/>
          <w:b w:val="0"/>
          <w:sz w:val="32"/>
        </w:rPr>
        <w:t>6.灾害防治及应急管理支出(类)应急管理事务(款)行政运行(项):支出决算数为225.65万元，比上年决算减少0.02万元，下降0.01%,主要原因是：本年在职人员调入调出，人员职级不同，工资基数不同，导致人员经费较上年减少。</w:t>
      </w:r>
    </w:p>
    <w:p w14:paraId="745D51B7">
      <w:pPr>
        <w:spacing w:line="580" w:lineRule="exact"/>
        <w:ind w:firstLine="640"/>
        <w:jc w:val="both"/>
      </w:pPr>
      <w:r>
        <w:rPr>
          <w:rFonts w:ascii="仿宋_GB2312" w:hAnsi="仿宋_GB2312" w:eastAsia="仿宋_GB2312"/>
          <w:b w:val="0"/>
          <w:sz w:val="32"/>
        </w:rPr>
        <w:t>7.灾害防治及应急管理支出(类)应急管理事务(款)一般行政管理事务(项):支出决算数为0.00万元，比上年决算减少7.60万元，下降100.00%,主要原因是：本年减少综合行政</w:t>
      </w:r>
      <w:bookmarkStart w:id="0" w:name="_GoBack"/>
      <w:r>
        <w:rPr>
          <w:rFonts w:ascii="仿宋_GB2312" w:hAnsi="仿宋_GB2312" w:eastAsia="仿宋_GB2312"/>
          <w:b w:val="0"/>
          <w:sz w:val="32"/>
        </w:rPr>
        <w:t>制服</w:t>
      </w:r>
      <w:bookmarkEnd w:id="0"/>
      <w:r>
        <w:rPr>
          <w:rFonts w:ascii="仿宋_GB2312" w:hAnsi="仿宋_GB2312" w:eastAsia="仿宋_GB2312"/>
          <w:b w:val="0"/>
          <w:sz w:val="32"/>
        </w:rPr>
        <w:t>费。</w:t>
      </w:r>
    </w:p>
    <w:p w14:paraId="3E397639">
      <w:pPr>
        <w:spacing w:line="580" w:lineRule="exact"/>
        <w:ind w:firstLine="640"/>
        <w:jc w:val="both"/>
      </w:pPr>
      <w:r>
        <w:rPr>
          <w:rFonts w:ascii="仿宋_GB2312" w:hAnsi="仿宋_GB2312" w:eastAsia="仿宋_GB2312"/>
          <w:b w:val="0"/>
          <w:sz w:val="32"/>
        </w:rPr>
        <w:t>8.灾害防治及应急管理支出(类)应急管理事务(款)灾害风险防治(项):支出决算数为0.00万元，比上年决算减少4.04万元，下降100.00%,主要原因是：本年减少自然灾害普查第三方服务费。</w:t>
      </w:r>
    </w:p>
    <w:p w14:paraId="75CC744A">
      <w:pPr>
        <w:spacing w:line="580" w:lineRule="exact"/>
        <w:ind w:firstLine="640"/>
        <w:jc w:val="both"/>
      </w:pPr>
      <w:r>
        <w:rPr>
          <w:rFonts w:ascii="仿宋_GB2312" w:hAnsi="仿宋_GB2312" w:eastAsia="仿宋_GB2312"/>
          <w:b w:val="0"/>
          <w:sz w:val="32"/>
        </w:rPr>
        <w:t>9.灾害防治及应急管理支出(类)应急管理事务(款)安全监管(项):支出决算数为5.00万元，比上年决算增加0.00万元，增长0.00%,主要原因是：本年应急安全生产经费与上年一致，无变化。</w:t>
      </w:r>
    </w:p>
    <w:p w14:paraId="028050E2">
      <w:pPr>
        <w:spacing w:line="580" w:lineRule="exact"/>
        <w:ind w:firstLine="640"/>
        <w:jc w:val="both"/>
      </w:pPr>
      <w:r>
        <w:rPr>
          <w:rFonts w:ascii="仿宋_GB2312" w:hAnsi="仿宋_GB2312" w:eastAsia="仿宋_GB2312"/>
          <w:b w:val="0"/>
          <w:sz w:val="32"/>
        </w:rPr>
        <w:t>10.灾害防治及应急管理支出(类)应急管理事务(款)其他应急管理支出(项):支出决算数为79.50万元，比上年决算增加79.50万元，增长100.00%,主要原因是：本年增加岳普湖县应急管理局采购举高喷射消防车项目。</w:t>
      </w:r>
    </w:p>
    <w:p w14:paraId="22999891">
      <w:pPr>
        <w:spacing w:line="580" w:lineRule="exact"/>
        <w:ind w:firstLine="640"/>
        <w:jc w:val="both"/>
      </w:pPr>
      <w:r>
        <w:rPr>
          <w:rFonts w:ascii="仿宋_GB2312" w:hAnsi="仿宋_GB2312" w:eastAsia="仿宋_GB2312"/>
          <w:b w:val="0"/>
          <w:sz w:val="32"/>
        </w:rPr>
        <w:t>11.灾害防治及应急管理支出(类)自然灾害救灾及恢复重建支出(款)自然灾害救灾补助(项):支出决算数为34.05万元，比上年决算增加34.05万元，增长100.00%,主要原因是：本年增加冬春临时生活困难救助项目。</w:t>
      </w:r>
    </w:p>
    <w:p w14:paraId="2497DB33">
      <w:pPr>
        <w:spacing w:line="640" w:lineRule="exact"/>
        <w:ind w:firstLine="640"/>
        <w:jc w:val="both"/>
        <w:outlineLvl w:val="2"/>
      </w:pPr>
      <w:r>
        <w:rPr>
          <w:rFonts w:ascii="黑体" w:hAnsi="黑体" w:eastAsia="黑体"/>
          <w:sz w:val="32"/>
        </w:rPr>
        <w:t>六、一般公共预算财政拨款基本支出决算情况说明</w:t>
      </w:r>
    </w:p>
    <w:p w14:paraId="5C5C2514">
      <w:pPr>
        <w:spacing w:line="580" w:lineRule="exact"/>
        <w:ind w:firstLine="640"/>
        <w:jc w:val="both"/>
      </w:pPr>
      <w:r>
        <w:rPr>
          <w:rFonts w:ascii="仿宋_GB2312" w:hAnsi="仿宋_GB2312" w:eastAsia="仿宋_GB2312"/>
          <w:b w:val="0"/>
          <w:sz w:val="32"/>
        </w:rPr>
        <w:t>2024年度一般公共预算财政拨款基本支出289.01万元，其中：</w:t>
      </w:r>
      <w:r>
        <w:rPr>
          <w:rFonts w:ascii="仿宋_GB2312" w:hAnsi="仿宋_GB2312" w:eastAsia="仿宋_GB2312"/>
          <w:b/>
          <w:sz w:val="32"/>
        </w:rPr>
        <w:t>人员经费278.88万元，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14:paraId="19E93D2F">
      <w:pPr>
        <w:spacing w:line="580" w:lineRule="exact"/>
        <w:ind w:firstLine="640"/>
        <w:jc w:val="both"/>
      </w:pPr>
      <w:r>
        <w:rPr>
          <w:rFonts w:ascii="仿宋_GB2312" w:hAnsi="仿宋_GB2312" w:eastAsia="仿宋_GB2312"/>
          <w:b/>
          <w:sz w:val="32"/>
        </w:rPr>
        <w:t>公用经费10.13万元，</w:t>
      </w:r>
      <w:r>
        <w:rPr>
          <w:rFonts w:ascii="仿宋_GB2312" w:hAnsi="仿宋_GB2312" w:eastAsia="仿宋_GB2312"/>
          <w:b w:val="0"/>
          <w:sz w:val="32"/>
        </w:rPr>
        <w:t>包括：办公费、水费、物业管理费、差旅费、维修（护）费、租赁费、公务用车运行维护费、其他商品和服务支出。</w:t>
      </w:r>
    </w:p>
    <w:p w14:paraId="3CBF356A">
      <w:pPr>
        <w:spacing w:line="640" w:lineRule="exact"/>
        <w:ind w:firstLine="640"/>
        <w:jc w:val="both"/>
        <w:outlineLvl w:val="2"/>
      </w:pPr>
      <w:r>
        <w:rPr>
          <w:rFonts w:ascii="黑体" w:hAnsi="黑体" w:eastAsia="黑体"/>
          <w:sz w:val="32"/>
        </w:rPr>
        <w:t>七、政府性基金预算财政拨款收入支出决算情况说明</w:t>
      </w:r>
    </w:p>
    <w:p w14:paraId="60C18D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8D34BE">
      <w:pPr>
        <w:spacing w:line="640" w:lineRule="exact"/>
        <w:ind w:firstLine="640"/>
        <w:jc w:val="both"/>
        <w:outlineLvl w:val="2"/>
      </w:pPr>
      <w:r>
        <w:rPr>
          <w:rFonts w:ascii="黑体" w:hAnsi="黑体" w:eastAsia="黑体"/>
          <w:sz w:val="32"/>
        </w:rPr>
        <w:t>八、国有资本经营预算财政拨款收入支出决算情况说明</w:t>
      </w:r>
    </w:p>
    <w:p w14:paraId="4CA165F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14D663">
      <w:pPr>
        <w:spacing w:line="640" w:lineRule="exact"/>
        <w:ind w:firstLine="640"/>
        <w:jc w:val="both"/>
        <w:outlineLvl w:val="2"/>
      </w:pPr>
      <w:r>
        <w:rPr>
          <w:rFonts w:ascii="黑体" w:hAnsi="黑体" w:eastAsia="黑体"/>
          <w:sz w:val="32"/>
        </w:rPr>
        <w:t>九、财政拨款“三公”经费支出决算情况说明</w:t>
      </w:r>
    </w:p>
    <w:p w14:paraId="23CB737F">
      <w:pPr>
        <w:spacing w:line="580" w:lineRule="exact"/>
        <w:ind w:firstLine="640"/>
        <w:jc w:val="both"/>
      </w:pPr>
      <w:r>
        <w:rPr>
          <w:rFonts w:ascii="仿宋_GB2312" w:hAnsi="仿宋_GB2312" w:eastAsia="仿宋_GB2312"/>
          <w:b/>
          <w:sz w:val="32"/>
        </w:rPr>
        <w:t>2024年度财政拨款“三公”经费支出5.50万元，</w:t>
      </w:r>
      <w:r>
        <w:rPr>
          <w:rFonts w:ascii="仿宋_GB2312" w:hAnsi="仿宋_GB2312" w:eastAsia="仿宋_GB2312"/>
          <w:b w:val="0"/>
          <w:sz w:val="32"/>
        </w:rPr>
        <w:t>比上年增加0.64万元，增长13.17%，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5.50万元，占100.00%，比上年增加0.64万元，增长13.17%，主要原因是：本单位公务用车日渐老化，维修维护成本增加，导致公务用车运行维护费较上年增加。公务接待费支出0.00万元，占0.00%，比上年增加0.00万元，增长0.00%，主要原因是：2023年与2024年均未安排公务接待费支出。</w:t>
      </w:r>
    </w:p>
    <w:p w14:paraId="259EFEBE">
      <w:pPr>
        <w:spacing w:line="580" w:lineRule="exact"/>
        <w:ind w:firstLine="640"/>
        <w:jc w:val="both"/>
      </w:pPr>
      <w:r>
        <w:rPr>
          <w:rFonts w:ascii="仿宋_GB2312" w:hAnsi="仿宋_GB2312" w:eastAsia="仿宋_GB2312"/>
          <w:b/>
          <w:sz w:val="32"/>
        </w:rPr>
        <w:t>具体情况如下：</w:t>
      </w:r>
    </w:p>
    <w:p w14:paraId="177060E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1A13C6">
      <w:pPr>
        <w:spacing w:line="580" w:lineRule="exact"/>
        <w:ind w:firstLine="640"/>
        <w:jc w:val="both"/>
      </w:pPr>
      <w:r>
        <w:rPr>
          <w:rFonts w:ascii="仿宋_GB2312" w:hAnsi="仿宋_GB2312" w:eastAsia="仿宋_GB2312"/>
          <w:b w:val="0"/>
          <w:sz w:val="32"/>
        </w:rPr>
        <w:t>公务用车购置及运行维护费5.50万元，其中：公务用车购置费0.00万元，公务用车运行维护费5.50万元。公务用车运行维护费开支内容包括车辆加油费、维修费、保险费、审车费、过路费。公务用车购置数0辆，公务用车保有量5辆。国有资产占用情况中固定资产车辆5辆，与公务用车保有量差异原因是：本单位固定资产车辆与公务用车保有量一致无差异。</w:t>
      </w:r>
    </w:p>
    <w:p w14:paraId="5920AEC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E961E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5.50万元，决算数5.50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5.50万元，决算数5.50万元，预决算差异率0.00%，主要原因是：严格按照预算执行，预决算无差异。公务接待费全年预算数0.00万元，决算数0.00万元，预决算差异率0.00%，主要原因是：本单位无公务接待费。</w:t>
      </w:r>
    </w:p>
    <w:p w14:paraId="35AD74E6">
      <w:pPr>
        <w:spacing w:line="640" w:lineRule="exact"/>
        <w:ind w:firstLine="640"/>
        <w:jc w:val="both"/>
        <w:outlineLvl w:val="2"/>
      </w:pPr>
      <w:r>
        <w:rPr>
          <w:rFonts w:ascii="黑体" w:hAnsi="黑体" w:eastAsia="黑体"/>
          <w:sz w:val="32"/>
        </w:rPr>
        <w:t>十、其他重要事项的情况说明</w:t>
      </w:r>
    </w:p>
    <w:p w14:paraId="17FF2BCB">
      <w:pPr>
        <w:spacing w:line="640" w:lineRule="exact"/>
        <w:ind w:firstLine="640"/>
        <w:jc w:val="both"/>
        <w:outlineLvl w:val="3"/>
      </w:pPr>
      <w:r>
        <w:rPr>
          <w:rFonts w:ascii="楷体_GB2312" w:hAnsi="楷体_GB2312" w:eastAsia="楷体_GB2312"/>
          <w:b/>
          <w:sz w:val="32"/>
        </w:rPr>
        <w:t>（一）机关运行经费及公用经费支出情况</w:t>
      </w:r>
    </w:p>
    <w:p w14:paraId="5DFF677B">
      <w:pPr>
        <w:spacing w:line="580" w:lineRule="exact"/>
        <w:ind w:firstLine="640"/>
        <w:jc w:val="both"/>
      </w:pPr>
      <w:r>
        <w:rPr>
          <w:rFonts w:ascii="仿宋_GB2312" w:hAnsi="仿宋_GB2312" w:eastAsia="仿宋_GB2312"/>
          <w:b w:val="0"/>
          <w:sz w:val="32"/>
        </w:rPr>
        <w:t>2024年度岳普湖县应急管理局（行政单位和参照公务员法管理事业单位）机关运行经费支出10.13万元，比上年增加2.90万元，增长40.11%，主要原因是：本年更新、维护补充办公用品，导致机关运行经费较上年增加。</w:t>
      </w:r>
    </w:p>
    <w:p w14:paraId="00D2E037">
      <w:pPr>
        <w:spacing w:line="640" w:lineRule="exact"/>
        <w:ind w:firstLine="640"/>
        <w:jc w:val="both"/>
        <w:outlineLvl w:val="3"/>
      </w:pPr>
      <w:r>
        <w:rPr>
          <w:rFonts w:ascii="楷体_GB2312" w:hAnsi="楷体_GB2312" w:eastAsia="楷体_GB2312"/>
          <w:b/>
          <w:sz w:val="32"/>
        </w:rPr>
        <w:t>（二）政府采购情况</w:t>
      </w:r>
    </w:p>
    <w:p w14:paraId="5AAC80F1">
      <w:pPr>
        <w:spacing w:line="580" w:lineRule="exact"/>
        <w:ind w:firstLine="640"/>
        <w:jc w:val="both"/>
      </w:pPr>
      <w:r>
        <w:rPr>
          <w:rFonts w:ascii="仿宋_GB2312" w:hAnsi="仿宋_GB2312" w:eastAsia="仿宋_GB2312"/>
          <w:b w:val="0"/>
          <w:sz w:val="32"/>
        </w:rPr>
        <w:t>2024年度政府采购支出总额4.88万元，其中：政府采购货物支出0.88万元、政府采购工程支出0.00万元、政府采购服务支出4.00万元。</w:t>
      </w:r>
    </w:p>
    <w:p w14:paraId="12B19E10">
      <w:pPr>
        <w:spacing w:line="580" w:lineRule="exact"/>
        <w:ind w:firstLine="640"/>
        <w:jc w:val="both"/>
      </w:pPr>
      <w:r>
        <w:rPr>
          <w:rFonts w:ascii="仿宋_GB2312" w:hAnsi="仿宋_GB2312" w:eastAsia="仿宋_GB2312"/>
          <w:b w:val="0"/>
          <w:sz w:val="32"/>
        </w:rPr>
        <w:t>授予中小企业合同金额4.38万元，占政府采购支出总额的89.75%，其中：授予小微企业合同金额4.10万元，占政府采购支出总额的84.02%。</w:t>
      </w:r>
    </w:p>
    <w:p w14:paraId="040AAA78">
      <w:pPr>
        <w:spacing w:line="640" w:lineRule="exact"/>
        <w:ind w:firstLine="640"/>
        <w:jc w:val="both"/>
        <w:outlineLvl w:val="3"/>
      </w:pPr>
      <w:r>
        <w:rPr>
          <w:rFonts w:ascii="楷体_GB2312" w:hAnsi="楷体_GB2312" w:eastAsia="楷体_GB2312"/>
          <w:b/>
          <w:sz w:val="32"/>
        </w:rPr>
        <w:t>（三）国有资产占用情况说明</w:t>
      </w:r>
    </w:p>
    <w:p w14:paraId="47BE493F">
      <w:pPr>
        <w:spacing w:line="580" w:lineRule="exact"/>
        <w:ind w:firstLine="640"/>
        <w:jc w:val="both"/>
      </w:pPr>
      <w:r>
        <w:rPr>
          <w:rFonts w:ascii="仿宋_GB2312" w:hAnsi="仿宋_GB2312" w:eastAsia="仿宋_GB2312"/>
          <w:b w:val="0"/>
          <w:sz w:val="32"/>
        </w:rPr>
        <w:t>截至2024年12月31日，房屋0.00平方米，价值0.00万元。车辆5辆，价值484.55万元，其中：副部（省）级及以上领导用车0辆、主要负责人用车0辆、机要通信用车0辆、应急保障用车2辆、执法执勤用车1辆、特种专业技术用车0辆、离退休干部服务用车0辆、其他用车2辆，其他用车主要是：一般公务用车。单价100万元（含）以上设备（不含车辆）0台（套）。</w:t>
      </w:r>
    </w:p>
    <w:p w14:paraId="79DE207F">
      <w:pPr>
        <w:spacing w:line="640" w:lineRule="exact"/>
        <w:ind w:firstLine="640"/>
        <w:jc w:val="both"/>
        <w:outlineLvl w:val="2"/>
      </w:pPr>
      <w:r>
        <w:rPr>
          <w:rFonts w:ascii="黑体" w:hAnsi="黑体" w:eastAsia="黑体"/>
          <w:sz w:val="32"/>
        </w:rPr>
        <w:t>十一、预算绩效的情况说明</w:t>
      </w:r>
    </w:p>
    <w:p w14:paraId="12D06C1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407.56万元，实际执行总额407.56万元；预算绩效评价项目3个，全年预算数118.55万元，全年执行数118.55万元。预算绩效管理取得的成效：一是加大绩效工作宣传力度，强化绩效理念。二是完善绩效指标，依据对部门工作任务的分解形成工作活动层面的绩效目标，提高整体绩效目标质量。三是提升预算精细化管理水平。目标的设定与部门的整体支出方向、结构与范围要高度一致，与“三定方案”确定的部门职能紧密相关，细致梳理部门具体的工作职责。继续完善预算绩效管理相关工作制度，建立全过程预算绩效管理链条，有效贯彻落实全面实施绩效管理的精神。发现的问题及原因：一是过于重视项目短期行为，部分业务人员绩效管理意识有待增强，未能全面深入认识理解绩效管理工作的意义。二是绩效管理经验不足，预算绩效管理工作有待进一步落实。绩效指标的明确性、可衡量性、相关性还需进一步提升。三是预算精细化管理还需完善，预算编制管理水平仍有进一步提升的空间。四是缺少带着问题去评价的意识，后续效益评价具体措施和方法不足。下一步改进措施：一是加大绩效工作宣传力度，强化绩效理念。二是完善绩效指标，依据对部门工作任务的分解形成工作活动层面的绩效目标，提高整体绩效目标质量。三是提升预算精细化管理水平。目标的设定与部门的整体支出方向、结构与范围要高度一致，与“三定方案”确定的部门职能紧密相关，细致梳理部门具体的工作职责。四是继续完善预算绩效管理相关工作制度，建立全过程预算绩效管理链条，有效贯彻落实全面实施绩效管理的精神。具体附整体支出绩效自评表，项目支出绩效自评表和评价报告。</w:t>
      </w:r>
    </w:p>
    <w:p w14:paraId="6B1D289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296B7F">
        <w:tblPrEx>
          <w:tblCellMar>
            <w:top w:w="0" w:type="dxa"/>
            <w:left w:w="108" w:type="dxa"/>
            <w:bottom w:w="0" w:type="dxa"/>
            <w:right w:w="108" w:type="dxa"/>
          </w:tblCellMar>
        </w:tblPrEx>
        <w:tc>
          <w:tcPr>
            <w:tcW w:w="8847" w:type="dxa"/>
            <w:gridSpan w:val="9"/>
            <w:vAlign w:val="center"/>
          </w:tcPr>
          <w:p w14:paraId="1E10CA37">
            <w:pPr>
              <w:jc w:val="center"/>
            </w:pPr>
            <w:r>
              <w:rPr>
                <w:rFonts w:ascii="宋体" w:hAnsi="宋体" w:eastAsia="宋体"/>
                <w:sz w:val="24"/>
              </w:rPr>
              <w:t>单位整体支出绩效自评表</w:t>
            </w:r>
          </w:p>
        </w:tc>
      </w:tr>
      <w:tr w14:paraId="51C46DF1">
        <w:tblPrEx>
          <w:tblCellMar>
            <w:top w:w="0" w:type="dxa"/>
            <w:left w:w="108" w:type="dxa"/>
            <w:bottom w:w="0" w:type="dxa"/>
            <w:right w:w="108" w:type="dxa"/>
          </w:tblCellMar>
        </w:tblPrEx>
        <w:tc>
          <w:tcPr>
            <w:tcW w:w="8847" w:type="dxa"/>
            <w:gridSpan w:val="9"/>
            <w:vAlign w:val="center"/>
          </w:tcPr>
          <w:p w14:paraId="5301BDEA">
            <w:pPr>
              <w:jc w:val="center"/>
            </w:pPr>
            <w:r>
              <w:rPr>
                <w:rFonts w:ascii="宋体" w:hAnsi="宋体" w:eastAsia="宋体"/>
                <w:sz w:val="24"/>
              </w:rPr>
              <w:t>（2024年度）</w:t>
            </w:r>
          </w:p>
        </w:tc>
      </w:tr>
      <w:tr w14:paraId="1660AB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BC23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88CDFF0">
            <w:pPr>
              <w:jc w:val="center"/>
            </w:pPr>
            <w:r>
              <w:rPr>
                <w:rFonts w:ascii="宋体" w:hAnsi="宋体" w:eastAsia="宋体"/>
                <w:sz w:val="16"/>
              </w:rPr>
              <w:t>岳普湖县应急管理局</w:t>
            </w:r>
          </w:p>
        </w:tc>
      </w:tr>
      <w:tr w14:paraId="40F98C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949E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A93C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4F39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9355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C74A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03AA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DCE2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3E4E">
            <w:pPr>
              <w:jc w:val="center"/>
            </w:pPr>
            <w:r>
              <w:rPr>
                <w:rFonts w:ascii="宋体" w:hAnsi="宋体" w:eastAsia="宋体"/>
                <w:sz w:val="16"/>
              </w:rPr>
              <w:t>得分</w:t>
            </w:r>
          </w:p>
        </w:tc>
      </w:tr>
      <w:tr w14:paraId="06EF32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174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88B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86305">
            <w:pPr>
              <w:jc w:val="center"/>
            </w:pPr>
            <w:r>
              <w:rPr>
                <w:rFonts w:ascii="宋体" w:hAnsi="宋体" w:eastAsia="宋体"/>
                <w:sz w:val="16"/>
              </w:rPr>
              <w:t>397.21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78590">
            <w:pPr>
              <w:jc w:val="center"/>
            </w:pPr>
            <w:r>
              <w:rPr>
                <w:rFonts w:ascii="宋体" w:hAnsi="宋体" w:eastAsia="宋体"/>
                <w:sz w:val="16"/>
              </w:rPr>
              <w:t>407.56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AD04B">
            <w:pPr>
              <w:jc w:val="center"/>
            </w:pPr>
            <w:r>
              <w:rPr>
                <w:rFonts w:ascii="宋体" w:hAnsi="宋体" w:eastAsia="宋体"/>
                <w:sz w:val="16"/>
              </w:rPr>
              <w:t>407.56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30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6C7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31CF">
            <w:pPr>
              <w:jc w:val="center"/>
            </w:pPr>
            <w:r>
              <w:rPr>
                <w:rFonts w:ascii="宋体" w:hAnsi="宋体" w:eastAsia="宋体"/>
                <w:sz w:val="16"/>
              </w:rPr>
              <w:t>10</w:t>
            </w:r>
          </w:p>
        </w:tc>
      </w:tr>
      <w:tr w14:paraId="0F1C0D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D44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27A1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EA8FE">
            <w:pPr>
              <w:jc w:val="center"/>
            </w:pPr>
            <w:r>
              <w:rPr>
                <w:rFonts w:ascii="宋体" w:hAnsi="宋体" w:eastAsia="宋体"/>
                <w:sz w:val="16"/>
              </w:rPr>
              <w:t>39.05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7405">
            <w:pPr>
              <w:jc w:val="center"/>
            </w:pPr>
            <w:r>
              <w:rPr>
                <w:rFonts w:ascii="宋体" w:hAnsi="宋体" w:eastAsia="宋体"/>
                <w:sz w:val="16"/>
              </w:rPr>
              <w:t>43.81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3534">
            <w:pPr>
              <w:jc w:val="center"/>
            </w:pPr>
            <w:r>
              <w:rPr>
                <w:rFonts w:ascii="宋体" w:hAnsi="宋体" w:eastAsia="宋体"/>
                <w:sz w:val="16"/>
              </w:rPr>
              <w:t>43.81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652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711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61AA2">
            <w:pPr>
              <w:jc w:val="center"/>
            </w:pPr>
            <w:r>
              <w:rPr>
                <w:rFonts w:ascii="宋体" w:hAnsi="宋体" w:eastAsia="宋体"/>
                <w:sz w:val="16"/>
              </w:rPr>
              <w:t>—</w:t>
            </w:r>
          </w:p>
        </w:tc>
      </w:tr>
      <w:tr w14:paraId="39A4C8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8BA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633A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EF9A">
            <w:pPr>
              <w:jc w:val="center"/>
            </w:pPr>
            <w:r>
              <w:rPr>
                <w:rFonts w:ascii="宋体" w:hAnsi="宋体" w:eastAsia="宋体"/>
                <w:sz w:val="16"/>
              </w:rPr>
              <w:t>358.16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A8C30">
            <w:pPr>
              <w:jc w:val="center"/>
            </w:pPr>
            <w:r>
              <w:rPr>
                <w:rFonts w:ascii="宋体" w:hAnsi="宋体" w:eastAsia="宋体"/>
                <w:sz w:val="16"/>
              </w:rPr>
              <w:t>363.75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E70EA">
            <w:pPr>
              <w:jc w:val="center"/>
            </w:pPr>
            <w:r>
              <w:rPr>
                <w:rFonts w:ascii="宋体" w:hAnsi="宋体" w:eastAsia="宋体"/>
                <w:sz w:val="16"/>
              </w:rPr>
              <w:t>363.75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407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07D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90C1">
            <w:pPr>
              <w:jc w:val="center"/>
            </w:pPr>
            <w:r>
              <w:rPr>
                <w:rFonts w:ascii="宋体" w:hAnsi="宋体" w:eastAsia="宋体"/>
                <w:sz w:val="16"/>
              </w:rPr>
              <w:t>—</w:t>
            </w:r>
          </w:p>
        </w:tc>
      </w:tr>
      <w:tr w14:paraId="33017A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980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8D8E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678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AA0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4BB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55C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8671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D0779">
            <w:pPr>
              <w:jc w:val="center"/>
            </w:pPr>
            <w:r>
              <w:rPr>
                <w:rFonts w:ascii="宋体" w:hAnsi="宋体" w:eastAsia="宋体"/>
                <w:sz w:val="16"/>
              </w:rPr>
              <w:t>—</w:t>
            </w:r>
          </w:p>
        </w:tc>
      </w:tr>
      <w:tr w14:paraId="7981B7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176A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42D8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24B765">
            <w:pPr>
              <w:jc w:val="center"/>
            </w:pPr>
            <w:r>
              <w:rPr>
                <w:rFonts w:ascii="宋体" w:hAnsi="宋体" w:eastAsia="宋体"/>
                <w:sz w:val="16"/>
              </w:rPr>
              <w:t>实际完成情况</w:t>
            </w:r>
          </w:p>
        </w:tc>
      </w:tr>
      <w:tr w14:paraId="2889A0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3743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F6E6DF">
            <w:pPr>
              <w:jc w:val="both"/>
            </w:pPr>
            <w:r>
              <w:rPr>
                <w:rFonts w:ascii="宋体" w:hAnsi="宋体" w:eastAsia="宋体"/>
                <w:sz w:val="16"/>
              </w:rPr>
              <w:t>按期完成全县21家危险化学品生产经营单位重点监督工作，常态化开展隐患排查。按期开展安全生产、防灾减灾救灾宣传培训10场次，提升全民安全防范意识。完成各项安全生产监督检查和防灾减灾工作，实现规范化管理，确保各个行业和领域的安全稳定。持续做好监测预警工作，及时发布预报预警信息，切实做好防范应对工作。提高群众灾害防范意识，推进应急管理体系和能力现代化建设，树牢树立安全发展理念，大力推进安全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DF18A">
            <w:pPr>
              <w:jc w:val="both"/>
            </w:pPr>
            <w:r>
              <w:rPr>
                <w:rFonts w:ascii="宋体" w:hAnsi="宋体" w:eastAsia="宋体"/>
                <w:sz w:val="16"/>
              </w:rPr>
              <w:t>岳普湖县应急管理局本年度已完成全县21家危险化学品生产经营单位重点监督工作，常态化开展隐患排查，本年度已完成规范生产监督检查工作，针对重点领域、重点时段，组织多部门联合开展事故防控专项行动，共同解决事故防控中的难点问题。本年度已完成安全生产、防灾减灾救灾宣传培训10场次，完成群众灾害防范意识宣传普及率100%全覆盖，提升全民安全防范意识，通过社区宣传、学校教育、线上科普、举办防灾减灾日活动等多种途径，广泛传播各类自然灾害的防范知识、避险技能，提高公众的防灾意识和自救能力，强化宣传教育，突出应急能力提升。完成灾害监测预警信息及时发布，结合气象、水利、自然资源等部门的监测数据，实现信息共享和互联互通，确保预警信息能够及时、准确地传递到相关部门和社会公众手中，为灾害防范和应对争取时间，本年度已完成防灾减灾工作，加强部门联动协商研判，引导基层最大限度防范各类自然灾害。</w:t>
            </w:r>
          </w:p>
        </w:tc>
      </w:tr>
      <w:tr w14:paraId="723E74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1C42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58B5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AE9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6A7C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631F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DF6E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9BA2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BA3F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AECA">
            <w:pPr>
              <w:jc w:val="center"/>
            </w:pPr>
            <w:r>
              <w:rPr>
                <w:rFonts w:ascii="宋体" w:hAnsi="宋体" w:eastAsia="宋体"/>
                <w:sz w:val="16"/>
              </w:rPr>
              <w:t>得分</w:t>
            </w:r>
          </w:p>
        </w:tc>
      </w:tr>
      <w:tr w14:paraId="56DC98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2942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A2F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F8958">
            <w:pPr>
              <w:jc w:val="center"/>
            </w:pPr>
            <w:r>
              <w:rPr>
                <w:rFonts w:ascii="宋体" w:hAnsi="宋体" w:eastAsia="宋体"/>
                <w:sz w:val="16"/>
              </w:rPr>
              <w:t>监管危险化学品生产经营单位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C236E">
            <w:pPr>
              <w:jc w:val="center"/>
            </w:pPr>
            <w:r>
              <w:rPr>
                <w:rFonts w:ascii="宋体" w:hAnsi="宋体" w:eastAsia="宋体"/>
                <w:sz w:val="16"/>
              </w:rPr>
              <w:t>&gt;=21家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6B23">
            <w:pPr>
              <w:jc w:val="center"/>
            </w:pPr>
            <w:r>
              <w:rPr>
                <w:rFonts w:ascii="宋体" w:hAnsi="宋体" w:eastAsia="宋体"/>
                <w:sz w:val="16"/>
              </w:rPr>
              <w:t>单位申请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595A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413C">
            <w:pPr>
              <w:jc w:val="center"/>
            </w:pPr>
            <w:r>
              <w:rPr>
                <w:rFonts w:ascii="宋体" w:hAnsi="宋体" w:eastAsia="宋体"/>
                <w:sz w:val="16"/>
              </w:rPr>
              <w:t>21家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84B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351E8">
            <w:pPr>
              <w:jc w:val="center"/>
            </w:pPr>
            <w:r>
              <w:rPr>
                <w:rFonts w:ascii="宋体" w:hAnsi="宋体" w:eastAsia="宋体"/>
                <w:sz w:val="16"/>
              </w:rPr>
              <w:t>15</w:t>
            </w:r>
          </w:p>
        </w:tc>
      </w:tr>
      <w:tr w14:paraId="56B08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159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84D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9FAA">
            <w:pPr>
              <w:jc w:val="center"/>
            </w:pPr>
            <w:r>
              <w:rPr>
                <w:rFonts w:ascii="宋体" w:hAnsi="宋体" w:eastAsia="宋体"/>
                <w:sz w:val="16"/>
              </w:rPr>
              <w:t>开展规范生产、防灾减灾救灾宣传教育培训数量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F1610">
            <w:pPr>
              <w:jc w:val="center"/>
            </w:pPr>
            <w:r>
              <w:rPr>
                <w:rFonts w:ascii="宋体" w:hAnsi="宋体" w:eastAsia="宋体"/>
                <w:sz w:val="16"/>
              </w:rPr>
              <w:t>&gt;=10场次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5DA9">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D0DB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6F9F5">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3A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63B0B">
            <w:pPr>
              <w:jc w:val="center"/>
            </w:pPr>
            <w:r>
              <w:rPr>
                <w:rFonts w:ascii="宋体" w:hAnsi="宋体" w:eastAsia="宋体"/>
                <w:sz w:val="16"/>
              </w:rPr>
              <w:t>15</w:t>
            </w:r>
          </w:p>
        </w:tc>
      </w:tr>
      <w:tr w14:paraId="28EA8D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60831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AE94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CAE17">
            <w:pPr>
              <w:jc w:val="center"/>
            </w:pPr>
            <w:r>
              <w:rPr>
                <w:rFonts w:ascii="宋体" w:hAnsi="宋体" w:eastAsia="宋体"/>
                <w:sz w:val="16"/>
              </w:rPr>
              <w:t>规范生产监督检查工作完成率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877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439A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3FFF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4E8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29E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5C866">
            <w:pPr>
              <w:jc w:val="center"/>
            </w:pPr>
            <w:r>
              <w:rPr>
                <w:rFonts w:ascii="宋体" w:hAnsi="宋体" w:eastAsia="宋体"/>
                <w:sz w:val="16"/>
              </w:rPr>
              <w:t>15</w:t>
            </w:r>
          </w:p>
        </w:tc>
      </w:tr>
      <w:tr w14:paraId="713FBF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E84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D65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93897">
            <w:pPr>
              <w:jc w:val="center"/>
            </w:pPr>
            <w:r>
              <w:rPr>
                <w:rFonts w:ascii="宋体" w:hAnsi="宋体" w:eastAsia="宋体"/>
                <w:sz w:val="16"/>
              </w:rPr>
              <w:t>群众灾害防范意识宣传普及率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8B8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D3D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0C09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6BC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02B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19875">
            <w:pPr>
              <w:jc w:val="center"/>
            </w:pPr>
            <w:r>
              <w:rPr>
                <w:rFonts w:ascii="宋体" w:hAnsi="宋体" w:eastAsia="宋体"/>
                <w:sz w:val="16"/>
              </w:rPr>
              <w:t>15</w:t>
            </w:r>
          </w:p>
        </w:tc>
      </w:tr>
      <w:tr w14:paraId="3E460C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09A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39B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E7EB">
            <w:pPr>
              <w:jc w:val="center"/>
            </w:pPr>
            <w:r>
              <w:rPr>
                <w:rFonts w:ascii="宋体" w:hAnsi="宋体" w:eastAsia="宋体"/>
                <w:sz w:val="16"/>
              </w:rPr>
              <w:t>防灾减灾工作完成率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C19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41718">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9FF0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C07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19F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B0EE9">
            <w:pPr>
              <w:jc w:val="center"/>
            </w:pPr>
            <w:r>
              <w:rPr>
                <w:rFonts w:ascii="宋体" w:hAnsi="宋体" w:eastAsia="宋体"/>
                <w:sz w:val="16"/>
              </w:rPr>
              <w:t>15</w:t>
            </w:r>
          </w:p>
        </w:tc>
      </w:tr>
      <w:tr w14:paraId="555186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CEB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584F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4B962">
            <w:pPr>
              <w:jc w:val="center"/>
            </w:pPr>
            <w:r>
              <w:rPr>
                <w:rFonts w:ascii="宋体" w:hAnsi="宋体" w:eastAsia="宋体"/>
                <w:sz w:val="16"/>
              </w:rPr>
              <w:t>灾害监测预警信息发布及时性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6E3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406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FC31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AFD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6B3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7EBBF">
            <w:pPr>
              <w:jc w:val="center"/>
            </w:pPr>
            <w:r>
              <w:rPr>
                <w:rFonts w:ascii="宋体" w:hAnsi="宋体" w:eastAsia="宋体"/>
                <w:sz w:val="16"/>
              </w:rPr>
              <w:t>15</w:t>
            </w:r>
          </w:p>
        </w:tc>
      </w:tr>
    </w:tbl>
    <w:p w14:paraId="047789FE">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0"/>
        <w:gridCol w:w="614"/>
        <w:gridCol w:w="614"/>
        <w:gridCol w:w="776"/>
        <w:gridCol w:w="632"/>
        <w:gridCol w:w="599"/>
        <w:gridCol w:w="632"/>
      </w:tblGrid>
      <w:tr w14:paraId="1F3419FC">
        <w:tblPrEx>
          <w:tblCellMar>
            <w:top w:w="0" w:type="dxa"/>
            <w:left w:w="108" w:type="dxa"/>
            <w:bottom w:w="0" w:type="dxa"/>
            <w:right w:w="108" w:type="dxa"/>
          </w:tblCellMar>
        </w:tblPrEx>
        <w:tc>
          <w:tcPr>
            <w:tcW w:w="8848" w:type="dxa"/>
            <w:gridSpan w:val="14"/>
            <w:vAlign w:val="center"/>
          </w:tcPr>
          <w:p w14:paraId="5653AA7B">
            <w:pPr>
              <w:jc w:val="center"/>
            </w:pPr>
            <w:r>
              <w:rPr>
                <w:rFonts w:ascii="宋体" w:hAnsi="宋体" w:eastAsia="宋体"/>
                <w:sz w:val="24"/>
              </w:rPr>
              <w:t>项目支出绩效自评表</w:t>
            </w:r>
          </w:p>
        </w:tc>
      </w:tr>
      <w:tr w14:paraId="4840BA87">
        <w:tblPrEx>
          <w:tblCellMar>
            <w:top w:w="0" w:type="dxa"/>
            <w:left w:w="108" w:type="dxa"/>
            <w:bottom w:w="0" w:type="dxa"/>
            <w:right w:w="108" w:type="dxa"/>
          </w:tblCellMar>
        </w:tblPrEx>
        <w:tc>
          <w:tcPr>
            <w:tcW w:w="8848" w:type="dxa"/>
            <w:gridSpan w:val="14"/>
            <w:vAlign w:val="center"/>
          </w:tcPr>
          <w:p w14:paraId="46C6FE9A">
            <w:pPr>
              <w:jc w:val="center"/>
            </w:pPr>
            <w:r>
              <w:rPr>
                <w:rFonts w:ascii="宋体" w:hAnsi="宋体" w:eastAsia="宋体"/>
                <w:sz w:val="24"/>
              </w:rPr>
              <w:t>(2024年度)</w:t>
            </w:r>
          </w:p>
        </w:tc>
      </w:tr>
      <w:tr w14:paraId="6CD37D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6F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9D75C6">
            <w:pPr>
              <w:jc w:val="center"/>
            </w:pPr>
            <w:r>
              <w:rPr>
                <w:rFonts w:ascii="宋体" w:hAnsi="宋体" w:eastAsia="宋体"/>
                <w:sz w:val="16"/>
              </w:rPr>
              <w:t>2023年中央自然灾害救灾资金（冬春临时生活困难救助资金）项目</w:t>
            </w:r>
          </w:p>
        </w:tc>
      </w:tr>
      <w:tr w14:paraId="574B3F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4F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9AC9F">
            <w:pPr>
              <w:jc w:val="center"/>
            </w:pPr>
            <w:r>
              <w:rPr>
                <w:rFonts w:ascii="宋体" w:hAnsi="宋体" w:eastAsia="宋体"/>
                <w:sz w:val="16"/>
              </w:rPr>
              <w:t>岳普湖县应急管理局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8B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2E44CD">
            <w:pPr>
              <w:jc w:val="center"/>
            </w:pPr>
            <w:r>
              <w:rPr>
                <w:rFonts w:ascii="宋体" w:hAnsi="宋体" w:eastAsia="宋体"/>
                <w:sz w:val="16"/>
              </w:rPr>
              <w:t>岳普湖县应急管理局</w:t>
            </w:r>
          </w:p>
        </w:tc>
      </w:tr>
      <w:tr w14:paraId="19201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35B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4C4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C0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EC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9C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0B2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AF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2C34">
            <w:pPr>
              <w:jc w:val="center"/>
            </w:pPr>
            <w:r>
              <w:rPr>
                <w:rFonts w:ascii="宋体" w:hAnsi="宋体" w:eastAsia="宋体"/>
                <w:sz w:val="16"/>
              </w:rPr>
              <w:t>得分</w:t>
            </w:r>
          </w:p>
        </w:tc>
      </w:tr>
      <w:tr w14:paraId="68E33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F2C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FB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41E55">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C86E">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CEBC">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20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253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EFE4">
            <w:pPr>
              <w:jc w:val="center"/>
            </w:pPr>
            <w:r>
              <w:rPr>
                <w:rFonts w:ascii="宋体" w:hAnsi="宋体" w:eastAsia="宋体"/>
                <w:sz w:val="16"/>
              </w:rPr>
              <w:t>10.00分</w:t>
            </w:r>
          </w:p>
        </w:tc>
      </w:tr>
      <w:tr w14:paraId="436E3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1A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265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5ABD">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58D14">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ED94">
            <w:pPr>
              <w:jc w:val="center"/>
            </w:pPr>
            <w:r>
              <w:rPr>
                <w:rFonts w:ascii="宋体" w:hAnsi="宋体" w:eastAsia="宋体"/>
                <w:sz w:val="16"/>
              </w:rPr>
              <w:t>34.05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1A2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E3C0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B00C">
            <w:pPr>
              <w:jc w:val="center"/>
            </w:pPr>
            <w:r>
              <w:rPr>
                <w:rFonts w:ascii="宋体" w:hAnsi="宋体" w:eastAsia="宋体"/>
                <w:sz w:val="16"/>
              </w:rPr>
              <w:t>—</w:t>
            </w:r>
          </w:p>
        </w:tc>
      </w:tr>
      <w:tr w14:paraId="7AC12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1E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A7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0C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65C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48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E4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1CD7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E64E">
            <w:pPr>
              <w:jc w:val="center"/>
            </w:pPr>
            <w:r>
              <w:rPr>
                <w:rFonts w:ascii="宋体" w:hAnsi="宋体" w:eastAsia="宋体"/>
                <w:sz w:val="16"/>
              </w:rPr>
              <w:t>—</w:t>
            </w:r>
          </w:p>
        </w:tc>
      </w:tr>
      <w:tr w14:paraId="735C9F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C82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985C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9EB93">
            <w:pPr>
              <w:jc w:val="center"/>
            </w:pPr>
            <w:r>
              <w:rPr>
                <w:rFonts w:ascii="宋体" w:hAnsi="宋体" w:eastAsia="宋体"/>
                <w:sz w:val="16"/>
              </w:rPr>
              <w:t>实际完成情况</w:t>
            </w:r>
          </w:p>
        </w:tc>
      </w:tr>
      <w:tr w14:paraId="310E7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CDE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2CCA0">
            <w:pPr>
              <w:jc w:val="both"/>
            </w:pPr>
            <w:r>
              <w:rPr>
                <w:rFonts w:ascii="宋体" w:hAnsi="宋体" w:eastAsia="宋体"/>
                <w:sz w:val="16"/>
              </w:rPr>
              <w:t>为做好冬春期间受灾群众生活救助工作，根据岳普湖县实际情况，对岳普湖县908名（220户）冬春期间受灾群众按照标准发放冬春临时生活困难补助，其中：一般户460人（114户），低保户和其他困难户448人（106户）通过项目的实施维护社会稳定，增强政府舆情引导，帮助受灾群众克服冬春生活困难，提高自然灾害应对处理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A3AAE7">
            <w:pPr>
              <w:jc w:val="both"/>
            </w:pPr>
            <w:r>
              <w:rPr>
                <w:rFonts w:ascii="宋体" w:hAnsi="宋体" w:eastAsia="宋体"/>
                <w:sz w:val="16"/>
              </w:rPr>
              <w:t>项目已完成岳普湖县908名（220户）冬春期间受灾群众冬春临时生活困难补助发放任务，其中：一般户460人（114户），低保户和其他困难户448人（106户）。预算执行率100%。通过项目的实施维护社会稳定，增强政府舆情引导，帮助受灾群众克服冬春生活困难，提高自然灾害应对处理能力。项目的受益人员满意度为100%。</w:t>
            </w:r>
          </w:p>
        </w:tc>
      </w:tr>
      <w:tr w14:paraId="7C201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F20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FC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87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E8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5A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4D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09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EB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8D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83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5C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8C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9AB4C">
            <w:pPr>
              <w:jc w:val="center"/>
            </w:pPr>
            <w:r>
              <w:rPr>
                <w:rFonts w:ascii="宋体" w:hAnsi="宋体" w:eastAsia="宋体"/>
                <w:sz w:val="16"/>
              </w:rPr>
              <w:t>偏差原因分析及改进措施</w:t>
            </w:r>
          </w:p>
        </w:tc>
      </w:tr>
      <w:tr w14:paraId="3CE103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5AF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745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989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0104">
            <w:pPr>
              <w:jc w:val="center"/>
            </w:pPr>
            <w:r>
              <w:rPr>
                <w:rFonts w:ascii="宋体" w:hAnsi="宋体" w:eastAsia="宋体"/>
                <w:sz w:val="16"/>
              </w:rPr>
              <w:t>冬春期间受灾困难群众救助数量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626F1">
            <w:pPr>
              <w:jc w:val="center"/>
            </w:pPr>
            <w:r>
              <w:rPr>
                <w:rFonts w:ascii="宋体" w:hAnsi="宋体" w:eastAsia="宋体"/>
                <w:sz w:val="16"/>
              </w:rPr>
              <w:t>&gt;=908人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9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8F48">
            <w:pPr>
              <w:jc w:val="center"/>
            </w:pPr>
            <w:r>
              <w:rPr>
                <w:rFonts w:ascii="宋体" w:hAnsi="宋体" w:eastAsia="宋体"/>
                <w:sz w:val="16"/>
              </w:rPr>
              <w:t>2265人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4A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70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75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CAC7">
            <w:pPr>
              <w:jc w:val="center"/>
            </w:pPr>
            <w:r>
              <w:rPr>
                <w:rFonts w:ascii="宋体" w:hAnsi="宋体" w:eastAsia="宋体"/>
                <w:sz w:val="16"/>
              </w:rPr>
              <w:t>=908人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AF1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3AD5">
            <w:pPr>
              <w:jc w:val="center"/>
            </w:pPr>
          </w:p>
        </w:tc>
      </w:tr>
      <w:tr w14:paraId="275EC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81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547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0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2173">
            <w:pPr>
              <w:jc w:val="center"/>
            </w:pPr>
            <w:r>
              <w:rPr>
                <w:rFonts w:ascii="宋体" w:hAnsi="宋体" w:eastAsia="宋体"/>
                <w:sz w:val="16"/>
              </w:rPr>
              <w:t>一般户补助发放人数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9809">
            <w:pPr>
              <w:jc w:val="center"/>
            </w:pPr>
            <w:r>
              <w:rPr>
                <w:rFonts w:ascii="宋体" w:hAnsi="宋体" w:eastAsia="宋体"/>
                <w:sz w:val="16"/>
              </w:rPr>
              <w:t>&gt;=460人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84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F5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7E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0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B7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D999">
            <w:pPr>
              <w:jc w:val="center"/>
            </w:pPr>
            <w:r>
              <w:rPr>
                <w:rFonts w:ascii="宋体" w:hAnsi="宋体" w:eastAsia="宋体"/>
                <w:sz w:val="16"/>
              </w:rPr>
              <w:t>=460人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BC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8CEC">
            <w:pPr>
              <w:jc w:val="center"/>
            </w:pPr>
          </w:p>
        </w:tc>
      </w:tr>
      <w:tr w14:paraId="3755C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8B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0B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E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DA20">
            <w:pPr>
              <w:jc w:val="center"/>
            </w:pPr>
            <w:r>
              <w:rPr>
                <w:rFonts w:ascii="宋体" w:hAnsi="宋体" w:eastAsia="宋体"/>
                <w:sz w:val="16"/>
              </w:rPr>
              <w:t>低保户和其他困难户补助发放人数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E0DA">
            <w:pPr>
              <w:jc w:val="center"/>
            </w:pPr>
            <w:r>
              <w:rPr>
                <w:rFonts w:ascii="宋体" w:hAnsi="宋体" w:eastAsia="宋体"/>
                <w:sz w:val="16"/>
              </w:rPr>
              <w:t>&gt;=448人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2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1B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46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B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D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CEFB">
            <w:pPr>
              <w:jc w:val="center"/>
            </w:pPr>
            <w:r>
              <w:rPr>
                <w:rFonts w:ascii="宋体" w:hAnsi="宋体" w:eastAsia="宋体"/>
                <w:sz w:val="16"/>
              </w:rPr>
              <w:t>=448人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F81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78DC">
            <w:pPr>
              <w:jc w:val="center"/>
            </w:pPr>
          </w:p>
        </w:tc>
      </w:tr>
      <w:tr w14:paraId="1C2D6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D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789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A4D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159F">
            <w:pPr>
              <w:jc w:val="center"/>
            </w:pPr>
            <w:r>
              <w:rPr>
                <w:rFonts w:ascii="宋体" w:hAnsi="宋体" w:eastAsia="宋体"/>
                <w:sz w:val="16"/>
              </w:rPr>
              <w:t>冬春救灾资金下拨率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0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2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8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24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3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DE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5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22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546F6">
            <w:pPr>
              <w:jc w:val="center"/>
            </w:pPr>
          </w:p>
        </w:tc>
      </w:tr>
      <w:tr w14:paraId="4179F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42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A8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582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9DE7">
            <w:pPr>
              <w:jc w:val="center"/>
            </w:pPr>
            <w:r>
              <w:rPr>
                <w:rFonts w:ascii="宋体" w:hAnsi="宋体" w:eastAsia="宋体"/>
                <w:sz w:val="16"/>
              </w:rPr>
              <w:t>冬春救灾资金使用率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F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C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9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E0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54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9C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B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728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75D0">
            <w:pPr>
              <w:jc w:val="center"/>
            </w:pPr>
          </w:p>
        </w:tc>
      </w:tr>
      <w:tr w14:paraId="223A7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7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9B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14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431E">
            <w:pPr>
              <w:jc w:val="center"/>
            </w:pPr>
            <w:r>
              <w:rPr>
                <w:rFonts w:ascii="宋体" w:hAnsi="宋体" w:eastAsia="宋体"/>
                <w:sz w:val="16"/>
              </w:rPr>
              <w:t>受灾群众投诉率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5E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22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E6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B8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84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5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82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66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07FC2">
            <w:pPr>
              <w:jc w:val="center"/>
            </w:pPr>
          </w:p>
        </w:tc>
      </w:tr>
      <w:tr w14:paraId="6D5BD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A2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C40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7B6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7487">
            <w:pPr>
              <w:jc w:val="center"/>
            </w:pPr>
            <w:r>
              <w:rPr>
                <w:rFonts w:ascii="宋体" w:hAnsi="宋体" w:eastAsia="宋体"/>
                <w:sz w:val="16"/>
              </w:rPr>
              <w:t>地级财政、应急管理部门收到冬春救助资金后下拨至县级财政、应急管理部门所需工作日时限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8A3B">
            <w:pPr>
              <w:jc w:val="center"/>
            </w:pPr>
            <w:r>
              <w:rPr>
                <w:rFonts w:ascii="宋体" w:hAnsi="宋体" w:eastAsia="宋体"/>
                <w:sz w:val="16"/>
              </w:rPr>
              <w:t>&lt;=5日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F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82AF">
            <w:pPr>
              <w:jc w:val="center"/>
            </w:pPr>
            <w:r>
              <w:rPr>
                <w:rFonts w:ascii="宋体" w:hAnsi="宋体" w:eastAsia="宋体"/>
                <w:sz w:val="16"/>
              </w:rPr>
              <w:t>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CA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2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26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EC2B">
            <w:pPr>
              <w:jc w:val="center"/>
            </w:pPr>
            <w:r>
              <w:rPr>
                <w:rFonts w:ascii="宋体" w:hAnsi="宋体" w:eastAsia="宋体"/>
                <w:sz w:val="16"/>
              </w:rPr>
              <w:t>=1日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27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D9C3">
            <w:pPr>
              <w:jc w:val="center"/>
            </w:pPr>
          </w:p>
        </w:tc>
      </w:tr>
      <w:tr w14:paraId="20CE2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5E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DD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5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0214">
            <w:pPr>
              <w:jc w:val="center"/>
            </w:pPr>
            <w:r>
              <w:rPr>
                <w:rFonts w:ascii="宋体" w:hAnsi="宋体" w:eastAsia="宋体"/>
                <w:sz w:val="16"/>
              </w:rPr>
              <w:t>县级应急管理部门收到冬春救灾资金后发放至救助对象所需时间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0ABE">
            <w:pPr>
              <w:jc w:val="center"/>
            </w:pPr>
            <w:r>
              <w:rPr>
                <w:rFonts w:ascii="宋体" w:hAnsi="宋体" w:eastAsia="宋体"/>
                <w:sz w:val="16"/>
              </w:rPr>
              <w:t>=2024年1月15日前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B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12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A5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AA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FC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20E1">
            <w:pPr>
              <w:jc w:val="center"/>
            </w:pPr>
            <w:r>
              <w:rPr>
                <w:rFonts w:ascii="宋体" w:hAnsi="宋体" w:eastAsia="宋体"/>
                <w:sz w:val="16"/>
              </w:rPr>
              <w:t>=2024年1月9日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DD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EFA4A">
            <w:pPr>
              <w:jc w:val="center"/>
            </w:pPr>
          </w:p>
        </w:tc>
      </w:tr>
      <w:tr w14:paraId="2FD2E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EF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A9D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C3E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96BD">
            <w:pPr>
              <w:jc w:val="center"/>
            </w:pPr>
            <w:r>
              <w:rPr>
                <w:rFonts w:ascii="宋体" w:hAnsi="宋体" w:eastAsia="宋体"/>
                <w:sz w:val="16"/>
              </w:rPr>
              <w:t>救助标准（一般户）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C09B">
            <w:pPr>
              <w:jc w:val="center"/>
            </w:pPr>
            <w:r>
              <w:rPr>
                <w:rFonts w:ascii="宋体" w:hAnsi="宋体" w:eastAsia="宋体"/>
                <w:sz w:val="16"/>
              </w:rPr>
              <w:t>&lt;=310元/人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18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3D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C8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6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BE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1EDC">
            <w:pPr>
              <w:jc w:val="center"/>
            </w:pPr>
            <w:r>
              <w:rPr>
                <w:rFonts w:ascii="宋体" w:hAnsi="宋体" w:eastAsia="宋体"/>
                <w:sz w:val="16"/>
              </w:rPr>
              <w:t>=310元/人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4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A5029">
            <w:pPr>
              <w:jc w:val="center"/>
            </w:pPr>
          </w:p>
        </w:tc>
      </w:tr>
      <w:tr w14:paraId="5457D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39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E3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54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762C">
            <w:pPr>
              <w:jc w:val="center"/>
            </w:pPr>
            <w:r>
              <w:rPr>
                <w:rFonts w:ascii="宋体" w:hAnsi="宋体" w:eastAsia="宋体"/>
                <w:sz w:val="16"/>
              </w:rPr>
              <w:t>低保户和其他困难户补助预算控制数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B1DB">
            <w:pPr>
              <w:jc w:val="center"/>
            </w:pPr>
            <w:r>
              <w:rPr>
                <w:rFonts w:ascii="宋体" w:hAnsi="宋体" w:eastAsia="宋体"/>
                <w:sz w:val="16"/>
              </w:rPr>
              <w:t>&lt;=197863元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D1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A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2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E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96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58F1">
            <w:pPr>
              <w:jc w:val="center"/>
            </w:pPr>
            <w:r>
              <w:rPr>
                <w:rFonts w:ascii="宋体" w:hAnsi="宋体" w:eastAsia="宋体"/>
                <w:sz w:val="16"/>
              </w:rPr>
              <w:t>=197863元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A1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757D1">
            <w:pPr>
              <w:jc w:val="center"/>
            </w:pPr>
          </w:p>
        </w:tc>
      </w:tr>
      <w:tr w14:paraId="21EDA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AD3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8E72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9AC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D36B">
            <w:pPr>
              <w:jc w:val="center"/>
            </w:pPr>
            <w:r>
              <w:rPr>
                <w:rFonts w:ascii="宋体" w:hAnsi="宋体" w:eastAsia="宋体"/>
                <w:sz w:val="16"/>
              </w:rPr>
              <w:t>帮助受灾群众克服冬春生活困难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DB75">
            <w:pPr>
              <w:jc w:val="center"/>
            </w:pPr>
            <w:r>
              <w:rPr>
                <w:rFonts w:ascii="宋体" w:hAnsi="宋体" w:eastAsia="宋体"/>
                <w:sz w:val="16"/>
              </w:rPr>
              <w:t>妥善保障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24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770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5B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8C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9B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BCCF">
            <w:pPr>
              <w:jc w:val="center"/>
            </w:pPr>
            <w:r>
              <w:rPr>
                <w:rFonts w:ascii="宋体" w:hAnsi="宋体" w:eastAsia="宋体"/>
                <w:sz w:val="16"/>
              </w:rPr>
              <w:t>妥善保障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00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427E">
            <w:pPr>
              <w:jc w:val="center"/>
            </w:pPr>
          </w:p>
        </w:tc>
      </w:tr>
      <w:tr w14:paraId="6E230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5B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B5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49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7A03">
            <w:pPr>
              <w:jc w:val="center"/>
            </w:pPr>
            <w:r>
              <w:rPr>
                <w:rFonts w:ascii="宋体" w:hAnsi="宋体" w:eastAsia="宋体"/>
                <w:sz w:val="16"/>
              </w:rPr>
              <w:t>发生重大负面舆情和事件次数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DDD8">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39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5F7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F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C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D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23FA">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12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0B99">
            <w:pPr>
              <w:jc w:val="center"/>
            </w:pPr>
          </w:p>
        </w:tc>
      </w:tr>
      <w:tr w14:paraId="5C518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90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53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D4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BC50">
            <w:pPr>
              <w:jc w:val="center"/>
            </w:pPr>
            <w:r>
              <w:rPr>
                <w:rFonts w:ascii="宋体" w:hAnsi="宋体" w:eastAsia="宋体"/>
                <w:sz w:val="16"/>
              </w:rPr>
              <w:t>受助群众满意度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119F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A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D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8E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3E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2F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8F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BF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B10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413D78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F00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20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4A68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062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2779C7"/>
        </w:tc>
      </w:tr>
    </w:tbl>
    <w:p w14:paraId="524B3B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C67C57B">
        <w:tblPrEx>
          <w:tblCellMar>
            <w:top w:w="0" w:type="dxa"/>
            <w:left w:w="108" w:type="dxa"/>
            <w:bottom w:w="0" w:type="dxa"/>
            <w:right w:w="108" w:type="dxa"/>
          </w:tblCellMar>
        </w:tblPrEx>
        <w:tc>
          <w:tcPr>
            <w:tcW w:w="8848" w:type="dxa"/>
            <w:gridSpan w:val="14"/>
            <w:vAlign w:val="center"/>
          </w:tcPr>
          <w:p w14:paraId="7D0C04A5">
            <w:pPr>
              <w:jc w:val="center"/>
            </w:pPr>
            <w:r>
              <w:rPr>
                <w:rFonts w:ascii="宋体" w:hAnsi="宋体" w:eastAsia="宋体"/>
                <w:sz w:val="24"/>
              </w:rPr>
              <w:t>项目支出绩效自评表</w:t>
            </w:r>
          </w:p>
        </w:tc>
      </w:tr>
      <w:tr w14:paraId="01156004">
        <w:tblPrEx>
          <w:tblCellMar>
            <w:top w:w="0" w:type="dxa"/>
            <w:left w:w="108" w:type="dxa"/>
            <w:bottom w:w="0" w:type="dxa"/>
            <w:right w:w="108" w:type="dxa"/>
          </w:tblCellMar>
        </w:tblPrEx>
        <w:tc>
          <w:tcPr>
            <w:tcW w:w="8848" w:type="dxa"/>
            <w:gridSpan w:val="14"/>
            <w:vAlign w:val="center"/>
          </w:tcPr>
          <w:p w14:paraId="3E5C4B69">
            <w:pPr>
              <w:jc w:val="center"/>
            </w:pPr>
            <w:r>
              <w:rPr>
                <w:rFonts w:ascii="宋体" w:hAnsi="宋体" w:eastAsia="宋体"/>
                <w:sz w:val="24"/>
              </w:rPr>
              <w:t>(2024年度)</w:t>
            </w:r>
          </w:p>
        </w:tc>
      </w:tr>
      <w:tr w14:paraId="0C92E2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D20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EB7DEA">
            <w:pPr>
              <w:jc w:val="center"/>
            </w:pPr>
            <w:r>
              <w:rPr>
                <w:rFonts w:ascii="宋体" w:hAnsi="宋体" w:eastAsia="宋体"/>
                <w:sz w:val="16"/>
              </w:rPr>
              <w:t>安全生产奖励金项目</w:t>
            </w:r>
          </w:p>
        </w:tc>
      </w:tr>
      <w:tr w14:paraId="69C893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1C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C74B8">
            <w:pPr>
              <w:jc w:val="center"/>
            </w:pPr>
            <w:r>
              <w:rPr>
                <w:rFonts w:ascii="宋体" w:hAnsi="宋体" w:eastAsia="宋体"/>
                <w:sz w:val="16"/>
              </w:rPr>
              <w:t>岳普湖县应急管理局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12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D56A7C">
            <w:pPr>
              <w:jc w:val="center"/>
            </w:pPr>
            <w:r>
              <w:rPr>
                <w:rFonts w:ascii="宋体" w:hAnsi="宋体" w:eastAsia="宋体"/>
                <w:sz w:val="16"/>
              </w:rPr>
              <w:t>岳普湖县应急管理局</w:t>
            </w:r>
          </w:p>
        </w:tc>
      </w:tr>
      <w:tr w14:paraId="5D2FD0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8B8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C23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6E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42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EDC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A5B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C5E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1D73">
            <w:pPr>
              <w:jc w:val="center"/>
            </w:pPr>
            <w:r>
              <w:rPr>
                <w:rFonts w:ascii="宋体" w:hAnsi="宋体" w:eastAsia="宋体"/>
                <w:sz w:val="16"/>
              </w:rPr>
              <w:t>得分</w:t>
            </w:r>
          </w:p>
        </w:tc>
      </w:tr>
      <w:tr w14:paraId="5CC94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551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DF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573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F2D4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7A99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EAA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205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BA59">
            <w:pPr>
              <w:jc w:val="center"/>
            </w:pPr>
            <w:r>
              <w:rPr>
                <w:rFonts w:ascii="宋体" w:hAnsi="宋体" w:eastAsia="宋体"/>
                <w:sz w:val="16"/>
              </w:rPr>
              <w:t>10.00分</w:t>
            </w:r>
          </w:p>
        </w:tc>
      </w:tr>
      <w:tr w14:paraId="58A19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53A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88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F60F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CDD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854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AC0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DF3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630D2">
            <w:pPr>
              <w:jc w:val="center"/>
            </w:pPr>
            <w:r>
              <w:rPr>
                <w:rFonts w:ascii="宋体" w:hAnsi="宋体" w:eastAsia="宋体"/>
                <w:sz w:val="16"/>
              </w:rPr>
              <w:t>—</w:t>
            </w:r>
          </w:p>
        </w:tc>
      </w:tr>
      <w:tr w14:paraId="531E0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59B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8BB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BE6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AE5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59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8B2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3157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2FC5">
            <w:pPr>
              <w:jc w:val="center"/>
            </w:pPr>
            <w:r>
              <w:rPr>
                <w:rFonts w:ascii="宋体" w:hAnsi="宋体" w:eastAsia="宋体"/>
                <w:sz w:val="16"/>
              </w:rPr>
              <w:t>—</w:t>
            </w:r>
          </w:p>
        </w:tc>
      </w:tr>
      <w:tr w14:paraId="74288C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D20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80C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0E5EF3">
            <w:pPr>
              <w:jc w:val="center"/>
            </w:pPr>
            <w:r>
              <w:rPr>
                <w:rFonts w:ascii="宋体" w:hAnsi="宋体" w:eastAsia="宋体"/>
                <w:sz w:val="16"/>
              </w:rPr>
              <w:t>实际完成情况</w:t>
            </w:r>
          </w:p>
        </w:tc>
      </w:tr>
      <w:tr w14:paraId="36773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949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CA0D3">
            <w:pPr>
              <w:jc w:val="both"/>
            </w:pPr>
            <w:r>
              <w:rPr>
                <w:rFonts w:ascii="宋体" w:hAnsi="宋体" w:eastAsia="宋体"/>
                <w:sz w:val="16"/>
              </w:rPr>
              <w:t>根据喀什地区实际情况，进行了2022年度安全生产目标管理考核，对获得安全生产先进政府的岳普湖县人民政府发放考核奖励经费，用于岳普湖县应急管理局安全生产隐患排查、应急救援、技术支撑、宣传教育等经费支出，奖励县市数1个，经费保障单位数量1个。通过项目的实施减少生产安全事故，全力以赴抓实抓好安全生产工作，有效保障各族人民群众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80C4A2">
            <w:pPr>
              <w:jc w:val="both"/>
            </w:pPr>
            <w:r>
              <w:rPr>
                <w:rFonts w:ascii="宋体" w:hAnsi="宋体" w:eastAsia="宋体"/>
                <w:sz w:val="16"/>
              </w:rPr>
              <w:t>项目已完成岳普湖县安全生产先进政府的考核奖励经费发放任务，已完成岳普湖县应急管理局安全生产隐患排查、应急救援、技术支撑、宣传教育等经费支出。奖励县市数1个，经费保障单位数量1个。预算执行率100%。通过项目的实施有效减少生产安全事故，全力以赴抓实抓好安全生产工作，有效保障各族人民群众生命财产安全。项目的受益单位满意度为100%。</w:t>
            </w:r>
          </w:p>
        </w:tc>
      </w:tr>
      <w:tr w14:paraId="13ACA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0FF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6B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E7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1CD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EE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30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0CF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DB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36B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988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5D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DE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718EF">
            <w:pPr>
              <w:jc w:val="center"/>
            </w:pPr>
            <w:r>
              <w:rPr>
                <w:rFonts w:ascii="宋体" w:hAnsi="宋体" w:eastAsia="宋体"/>
                <w:sz w:val="16"/>
              </w:rPr>
              <w:t>偏差原因分析及改进措施</w:t>
            </w:r>
          </w:p>
        </w:tc>
      </w:tr>
      <w:tr w14:paraId="30E988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517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F7E7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3E1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37EA">
            <w:pPr>
              <w:jc w:val="center"/>
            </w:pPr>
            <w:r>
              <w:rPr>
                <w:rFonts w:ascii="宋体" w:hAnsi="宋体" w:eastAsia="宋体"/>
                <w:sz w:val="16"/>
              </w:rPr>
              <w:t>奖励县市数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09F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8D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24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79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1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55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14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67A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22700">
            <w:pPr>
              <w:jc w:val="center"/>
            </w:pPr>
          </w:p>
        </w:tc>
      </w:tr>
      <w:tr w14:paraId="4621C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DC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D5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5B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7D5A">
            <w:pPr>
              <w:jc w:val="center"/>
            </w:pPr>
            <w:r>
              <w:rPr>
                <w:rFonts w:ascii="宋体" w:hAnsi="宋体" w:eastAsia="宋体"/>
                <w:sz w:val="16"/>
              </w:rPr>
              <w:t>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5CC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DE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C1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C54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A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9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90D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169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B4B6F">
            <w:pPr>
              <w:jc w:val="center"/>
            </w:pPr>
          </w:p>
        </w:tc>
      </w:tr>
      <w:tr w14:paraId="6E14B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C3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D2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2D2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6766">
            <w:pPr>
              <w:jc w:val="center"/>
            </w:pPr>
            <w:r>
              <w:rPr>
                <w:rFonts w:ascii="宋体" w:hAnsi="宋体" w:eastAsia="宋体"/>
                <w:sz w:val="16"/>
              </w:rPr>
              <w:t>奖励完成率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E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0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7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B0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B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34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7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BC8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9EAD9">
            <w:pPr>
              <w:jc w:val="center"/>
            </w:pPr>
          </w:p>
        </w:tc>
      </w:tr>
      <w:tr w14:paraId="46FCF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CB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34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16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043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E0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4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F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4D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5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45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0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D12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DB02">
            <w:pPr>
              <w:jc w:val="center"/>
            </w:pPr>
          </w:p>
        </w:tc>
      </w:tr>
      <w:tr w14:paraId="27E85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0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A2F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494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67CF">
            <w:pPr>
              <w:jc w:val="center"/>
            </w:pPr>
            <w:r>
              <w:rPr>
                <w:rFonts w:ascii="宋体" w:hAnsi="宋体" w:eastAsia="宋体"/>
                <w:sz w:val="16"/>
              </w:rPr>
              <w:t>奖励金支付及时率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8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0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C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C6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2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94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E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4E1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BF9F">
            <w:pPr>
              <w:jc w:val="center"/>
            </w:pPr>
          </w:p>
        </w:tc>
      </w:tr>
      <w:tr w14:paraId="0F928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2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34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07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5B0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AC28">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6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EC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27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40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EA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6C6B">
            <w:pPr>
              <w:jc w:val="center"/>
            </w:pPr>
            <w:r>
              <w:rPr>
                <w:rFonts w:ascii="宋体" w:hAnsi="宋体" w:eastAsia="宋体"/>
                <w:sz w:val="16"/>
              </w:rPr>
              <w:t>=2024年6月12日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A7F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79C1">
            <w:pPr>
              <w:jc w:val="center"/>
            </w:pPr>
          </w:p>
        </w:tc>
      </w:tr>
      <w:tr w14:paraId="29AA5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A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B9D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3C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67E7">
            <w:pPr>
              <w:jc w:val="center"/>
            </w:pPr>
            <w:r>
              <w:rPr>
                <w:rFonts w:ascii="宋体" w:hAnsi="宋体" w:eastAsia="宋体"/>
                <w:sz w:val="16"/>
              </w:rPr>
              <w:t>单个先进县市奖励金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48C6">
            <w:pPr>
              <w:jc w:val="center"/>
            </w:pPr>
            <w:r>
              <w:rPr>
                <w:rFonts w:ascii="宋体" w:hAnsi="宋体" w:eastAsia="宋体"/>
                <w:sz w:val="16"/>
              </w:rPr>
              <w:t>&lt;=5万元/个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E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BAC1">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85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A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2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31B6">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F6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676D3">
            <w:pPr>
              <w:jc w:val="center"/>
            </w:pPr>
          </w:p>
        </w:tc>
      </w:tr>
      <w:tr w14:paraId="2CB1D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6F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94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09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12ED">
            <w:pPr>
              <w:jc w:val="center"/>
            </w:pPr>
            <w:r>
              <w:rPr>
                <w:rFonts w:ascii="宋体" w:hAnsi="宋体" w:eastAsia="宋体"/>
                <w:sz w:val="16"/>
              </w:rPr>
              <w:t>减少生产安全事故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A60B">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B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1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96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E0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2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6052">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AC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53A5">
            <w:pPr>
              <w:jc w:val="center"/>
            </w:pPr>
          </w:p>
        </w:tc>
      </w:tr>
      <w:tr w14:paraId="0211E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440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21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C7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5EBF">
            <w:pPr>
              <w:jc w:val="center"/>
            </w:pPr>
            <w:r>
              <w:rPr>
                <w:rFonts w:ascii="宋体" w:hAnsi="宋体" w:eastAsia="宋体"/>
                <w:sz w:val="16"/>
              </w:rPr>
              <w:t>先进县市及地直单位满意度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BAD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D9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92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2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6F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0E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04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02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573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88386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C2C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1A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B04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34D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9F5F9D"/>
        </w:tc>
      </w:tr>
    </w:tbl>
    <w:p w14:paraId="5B9EB3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8B06DE0">
        <w:tblPrEx>
          <w:tblCellMar>
            <w:top w:w="0" w:type="dxa"/>
            <w:left w:w="108" w:type="dxa"/>
            <w:bottom w:w="0" w:type="dxa"/>
            <w:right w:w="108" w:type="dxa"/>
          </w:tblCellMar>
        </w:tblPrEx>
        <w:tc>
          <w:tcPr>
            <w:tcW w:w="8848" w:type="dxa"/>
            <w:gridSpan w:val="14"/>
            <w:vAlign w:val="center"/>
          </w:tcPr>
          <w:p w14:paraId="176B1576">
            <w:pPr>
              <w:jc w:val="center"/>
            </w:pPr>
            <w:r>
              <w:rPr>
                <w:rFonts w:ascii="宋体" w:hAnsi="宋体" w:eastAsia="宋体"/>
                <w:sz w:val="24"/>
              </w:rPr>
              <w:t>项目支出绩效自评表</w:t>
            </w:r>
          </w:p>
        </w:tc>
      </w:tr>
      <w:tr w14:paraId="2C1CD058">
        <w:tblPrEx>
          <w:tblCellMar>
            <w:top w:w="0" w:type="dxa"/>
            <w:left w:w="108" w:type="dxa"/>
            <w:bottom w:w="0" w:type="dxa"/>
            <w:right w:w="108" w:type="dxa"/>
          </w:tblCellMar>
        </w:tblPrEx>
        <w:tc>
          <w:tcPr>
            <w:tcW w:w="8848" w:type="dxa"/>
            <w:gridSpan w:val="14"/>
            <w:vAlign w:val="center"/>
          </w:tcPr>
          <w:p w14:paraId="6DBAD934">
            <w:pPr>
              <w:jc w:val="center"/>
            </w:pPr>
            <w:r>
              <w:rPr>
                <w:rFonts w:ascii="宋体" w:hAnsi="宋体" w:eastAsia="宋体"/>
                <w:sz w:val="24"/>
              </w:rPr>
              <w:t>(2024年度)</w:t>
            </w:r>
          </w:p>
        </w:tc>
      </w:tr>
      <w:tr w14:paraId="3C28E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34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F8BA2B">
            <w:pPr>
              <w:jc w:val="center"/>
            </w:pPr>
            <w:r>
              <w:rPr>
                <w:rFonts w:ascii="宋体" w:hAnsi="宋体" w:eastAsia="宋体"/>
                <w:sz w:val="16"/>
              </w:rPr>
              <w:t>应急管理局偿还以前年度欠款项目</w:t>
            </w:r>
          </w:p>
        </w:tc>
      </w:tr>
      <w:tr w14:paraId="050CBE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1C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3F4D3">
            <w:pPr>
              <w:jc w:val="center"/>
            </w:pPr>
            <w:r>
              <w:rPr>
                <w:rFonts w:ascii="宋体" w:hAnsi="宋体" w:eastAsia="宋体"/>
                <w:sz w:val="16"/>
              </w:rPr>
              <w:t>岳普湖县应急管理局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34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C79E0">
            <w:pPr>
              <w:jc w:val="center"/>
            </w:pPr>
            <w:r>
              <w:rPr>
                <w:rFonts w:ascii="宋体" w:hAnsi="宋体" w:eastAsia="宋体"/>
                <w:sz w:val="16"/>
              </w:rPr>
              <w:t>岳普湖县应急管理局</w:t>
            </w:r>
          </w:p>
        </w:tc>
      </w:tr>
      <w:tr w14:paraId="5FED83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66B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284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FFE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C1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1D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D2F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E58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4DF5">
            <w:pPr>
              <w:jc w:val="center"/>
            </w:pPr>
            <w:r>
              <w:rPr>
                <w:rFonts w:ascii="宋体" w:hAnsi="宋体" w:eastAsia="宋体"/>
                <w:sz w:val="16"/>
              </w:rPr>
              <w:t>得分</w:t>
            </w:r>
          </w:p>
        </w:tc>
      </w:tr>
      <w:tr w14:paraId="481E9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95C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51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277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E184">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8E4A0">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90D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42F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79B7">
            <w:pPr>
              <w:jc w:val="center"/>
            </w:pPr>
            <w:r>
              <w:rPr>
                <w:rFonts w:ascii="宋体" w:hAnsi="宋体" w:eastAsia="宋体"/>
                <w:sz w:val="16"/>
              </w:rPr>
              <w:t>10.00分</w:t>
            </w:r>
          </w:p>
        </w:tc>
      </w:tr>
      <w:tr w14:paraId="65650D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ED7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57F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72C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8F79D">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4749D">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00D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24DA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9547">
            <w:pPr>
              <w:jc w:val="center"/>
            </w:pPr>
            <w:r>
              <w:rPr>
                <w:rFonts w:ascii="宋体" w:hAnsi="宋体" w:eastAsia="宋体"/>
                <w:sz w:val="16"/>
              </w:rPr>
              <w:t>—</w:t>
            </w:r>
          </w:p>
        </w:tc>
      </w:tr>
      <w:tr w14:paraId="56281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84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7B5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CDB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63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67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19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3F2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9DAE">
            <w:pPr>
              <w:jc w:val="center"/>
            </w:pPr>
            <w:r>
              <w:rPr>
                <w:rFonts w:ascii="宋体" w:hAnsi="宋体" w:eastAsia="宋体"/>
                <w:sz w:val="16"/>
              </w:rPr>
              <w:t>—</w:t>
            </w:r>
          </w:p>
        </w:tc>
      </w:tr>
      <w:tr w14:paraId="39ED99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1A2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5ED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7DD86">
            <w:pPr>
              <w:jc w:val="center"/>
            </w:pPr>
            <w:r>
              <w:rPr>
                <w:rFonts w:ascii="宋体" w:hAnsi="宋体" w:eastAsia="宋体"/>
                <w:sz w:val="16"/>
              </w:rPr>
              <w:t>实际完成情况</w:t>
            </w:r>
          </w:p>
        </w:tc>
      </w:tr>
      <w:tr w14:paraId="425C1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1AA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93DDA">
            <w:pPr>
              <w:jc w:val="both"/>
            </w:pPr>
            <w:r>
              <w:rPr>
                <w:rFonts w:ascii="宋体" w:hAnsi="宋体" w:eastAsia="宋体"/>
                <w:sz w:val="16"/>
              </w:rPr>
              <w:t>根据岳普湖县实际情况，为响应国家政策，提升社会公众服务能力，提高政府公信力。对2022年岳普湖县消防车采购项目剩余欠款完成本年度支付任务。偿还欠款项目数量1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7EAF88">
            <w:pPr>
              <w:jc w:val="both"/>
            </w:pPr>
            <w:r>
              <w:rPr>
                <w:rFonts w:ascii="宋体" w:hAnsi="宋体" w:eastAsia="宋体"/>
                <w:sz w:val="16"/>
              </w:rPr>
              <w:t>项目已完成对2022年岳普湖县消防车采购项目剩余欠款完成本年度支付任务。偿还欠款项目数量1个。预算执行率100%。通过项目的实施有效提升政府部门的履约和服务能力，防范和化解地方政府隐性债务风险。</w:t>
            </w:r>
          </w:p>
        </w:tc>
      </w:tr>
      <w:tr w14:paraId="68077C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1C2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14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DF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69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4F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75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DE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02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DD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ED7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80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F6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F0556">
            <w:pPr>
              <w:jc w:val="center"/>
            </w:pPr>
            <w:r>
              <w:rPr>
                <w:rFonts w:ascii="宋体" w:hAnsi="宋体" w:eastAsia="宋体"/>
                <w:sz w:val="16"/>
              </w:rPr>
              <w:t>偏差原因分析及改进措施</w:t>
            </w:r>
          </w:p>
        </w:tc>
      </w:tr>
      <w:tr w14:paraId="098721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E56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C9D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65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C11C">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F0E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6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85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2A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E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17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A60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C9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B4189">
            <w:pPr>
              <w:jc w:val="center"/>
            </w:pPr>
          </w:p>
        </w:tc>
      </w:tr>
      <w:tr w14:paraId="32A31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4FB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AEF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ED4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D219">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8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F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5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F5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AD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09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E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C06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C579D">
            <w:pPr>
              <w:jc w:val="center"/>
            </w:pPr>
          </w:p>
        </w:tc>
      </w:tr>
      <w:tr w14:paraId="38EC7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9D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D7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02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FE6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2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5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5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D1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3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B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E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53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DDE9C">
            <w:pPr>
              <w:jc w:val="center"/>
            </w:pPr>
          </w:p>
        </w:tc>
      </w:tr>
      <w:tr w14:paraId="045C90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38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E4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BC6C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DE7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22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0C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D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CA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D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8A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A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FB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0D94">
            <w:pPr>
              <w:jc w:val="center"/>
            </w:pPr>
          </w:p>
        </w:tc>
      </w:tr>
      <w:tr w14:paraId="3F3FC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3A1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7FB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75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3D5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F19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E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82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B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56A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B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A4C9">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B9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C0E0A">
            <w:pPr>
              <w:jc w:val="center"/>
            </w:pPr>
          </w:p>
        </w:tc>
      </w:tr>
      <w:tr w14:paraId="1C270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25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2A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AB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2EEC">
            <w:pPr>
              <w:jc w:val="center"/>
            </w:pPr>
            <w:r>
              <w:rPr>
                <w:rFonts w:ascii="宋体" w:hAnsi="宋体" w:eastAsia="宋体"/>
                <w:sz w:val="16"/>
              </w:rPr>
              <w:t>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F6C2">
            <w:pPr>
              <w:jc w:val="center"/>
            </w:pPr>
            <w:r>
              <w:rPr>
                <w:rFonts w:ascii="宋体" w:hAnsi="宋体" w:eastAsia="宋体"/>
                <w:sz w:val="16"/>
              </w:rPr>
              <w:t>&lt;=79.5万元/个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9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91543">
            <w:pPr>
              <w:jc w:val="center"/>
            </w:pPr>
            <w:r>
              <w:rPr>
                <w:rFonts w:ascii="宋体" w:hAnsi="宋体" w:eastAsia="宋体"/>
                <w:sz w:val="16"/>
              </w:rPr>
              <w:t>50.00万元/个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47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7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A3B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7023">
            <w:pPr>
              <w:jc w:val="center"/>
            </w:pPr>
            <w:r>
              <w:rPr>
                <w:rFonts w:ascii="宋体" w:hAnsi="宋体" w:eastAsia="宋体"/>
                <w:sz w:val="16"/>
              </w:rPr>
              <w:t>=79.5万元/个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F9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B1EC">
            <w:pPr>
              <w:jc w:val="center"/>
            </w:pPr>
          </w:p>
        </w:tc>
      </w:tr>
      <w:tr w14:paraId="0D038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EB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51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E8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825A">
            <w:pPr>
              <w:jc w:val="center"/>
            </w:pPr>
            <w:r>
              <w:rPr>
                <w:rFonts w:ascii="宋体" w:hAnsi="宋体" w:eastAsia="宋体"/>
                <w:sz w:val="16"/>
              </w:rPr>
              <w:t>提升政府部门的履约和服务能力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E17C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4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B00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5C3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DC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7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409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A05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B064">
            <w:pPr>
              <w:jc w:val="center"/>
            </w:pPr>
          </w:p>
        </w:tc>
      </w:tr>
      <w:tr w14:paraId="5F8814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9D4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04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86A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E07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4019EA"/>
        </w:tc>
      </w:tr>
    </w:tbl>
    <w:p w14:paraId="310E36C9">
      <w:r>
        <w:br w:type="page"/>
      </w:r>
    </w:p>
    <w:p w14:paraId="3BB584DF">
      <w:pPr>
        <w:spacing w:line="640" w:lineRule="exact"/>
        <w:ind w:firstLine="640"/>
        <w:jc w:val="both"/>
        <w:outlineLvl w:val="2"/>
      </w:pPr>
      <w:r>
        <w:rPr>
          <w:rFonts w:ascii="黑体" w:hAnsi="黑体" w:eastAsia="黑体"/>
          <w:sz w:val="32"/>
        </w:rPr>
        <w:t>十二、其他需说明的事项</w:t>
      </w:r>
    </w:p>
    <w:p w14:paraId="36A40278">
      <w:pPr>
        <w:spacing w:line="580" w:lineRule="exact"/>
        <w:ind w:firstLine="640"/>
        <w:jc w:val="both"/>
      </w:pPr>
      <w:r>
        <w:rPr>
          <w:rFonts w:ascii="仿宋_GB2312" w:hAnsi="仿宋_GB2312" w:eastAsia="仿宋_GB2312"/>
          <w:b w:val="0"/>
          <w:sz w:val="32"/>
        </w:rPr>
        <w:t>本单位无其他需说明的事项。</w:t>
      </w:r>
    </w:p>
    <w:p w14:paraId="3FB14157">
      <w:r>
        <w:br w:type="page"/>
      </w:r>
    </w:p>
    <w:p w14:paraId="2AB47693">
      <w:pPr>
        <w:spacing w:line="240" w:lineRule="auto"/>
        <w:jc w:val="center"/>
        <w:outlineLvl w:val="1"/>
      </w:pPr>
      <w:r>
        <w:rPr>
          <w:rFonts w:ascii="黑体" w:hAnsi="黑体" w:eastAsia="黑体"/>
          <w:sz w:val="32"/>
        </w:rPr>
        <w:t>第三部分 专业名词解释</w:t>
      </w:r>
    </w:p>
    <w:p w14:paraId="4F751A4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959E2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D87A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DD9B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927F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BFFD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9D75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DB24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8A3DB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84887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A22EA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4936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D639D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3467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30F373">
      <w:r>
        <w:br w:type="page"/>
      </w:r>
    </w:p>
    <w:p w14:paraId="1AAA02E6">
      <w:pPr>
        <w:spacing w:line="240" w:lineRule="auto"/>
        <w:jc w:val="center"/>
        <w:outlineLvl w:val="1"/>
      </w:pPr>
      <w:r>
        <w:rPr>
          <w:rFonts w:ascii="黑体" w:hAnsi="黑体" w:eastAsia="黑体"/>
          <w:sz w:val="32"/>
        </w:rPr>
        <w:t>第四部分 部门决算报表（见附表）</w:t>
      </w:r>
    </w:p>
    <w:p w14:paraId="0068D154">
      <w:pPr>
        <w:spacing w:line="240" w:lineRule="auto"/>
        <w:ind w:firstLine="640"/>
        <w:jc w:val="both"/>
      </w:pPr>
      <w:r>
        <w:rPr>
          <w:rFonts w:ascii="仿宋_GB2312" w:hAnsi="仿宋_GB2312" w:eastAsia="仿宋_GB2312"/>
          <w:b w:val="0"/>
          <w:sz w:val="32"/>
        </w:rPr>
        <w:t>一、《收入支出决算总表》</w:t>
      </w:r>
    </w:p>
    <w:p w14:paraId="0284D47E">
      <w:pPr>
        <w:spacing w:line="240" w:lineRule="auto"/>
        <w:ind w:firstLine="640"/>
        <w:jc w:val="both"/>
      </w:pPr>
      <w:r>
        <w:rPr>
          <w:rFonts w:ascii="仿宋_GB2312" w:hAnsi="仿宋_GB2312" w:eastAsia="仿宋_GB2312"/>
          <w:b w:val="0"/>
          <w:sz w:val="32"/>
        </w:rPr>
        <w:t>二、《收入决算表》</w:t>
      </w:r>
    </w:p>
    <w:p w14:paraId="0F02A5A2">
      <w:pPr>
        <w:spacing w:line="240" w:lineRule="auto"/>
        <w:ind w:firstLine="640"/>
        <w:jc w:val="both"/>
      </w:pPr>
      <w:r>
        <w:rPr>
          <w:rFonts w:ascii="仿宋_GB2312" w:hAnsi="仿宋_GB2312" w:eastAsia="仿宋_GB2312"/>
          <w:b w:val="0"/>
          <w:sz w:val="32"/>
        </w:rPr>
        <w:t>三、《支出决算表》</w:t>
      </w:r>
    </w:p>
    <w:p w14:paraId="6F02B052">
      <w:pPr>
        <w:spacing w:line="240" w:lineRule="auto"/>
        <w:ind w:firstLine="640"/>
        <w:jc w:val="both"/>
      </w:pPr>
      <w:r>
        <w:rPr>
          <w:rFonts w:ascii="仿宋_GB2312" w:hAnsi="仿宋_GB2312" w:eastAsia="仿宋_GB2312"/>
          <w:b w:val="0"/>
          <w:sz w:val="32"/>
        </w:rPr>
        <w:t>四、《财政拨款收入支出决算总表》</w:t>
      </w:r>
    </w:p>
    <w:p w14:paraId="293278DE">
      <w:pPr>
        <w:spacing w:line="240" w:lineRule="auto"/>
        <w:ind w:firstLine="640"/>
        <w:jc w:val="both"/>
      </w:pPr>
      <w:r>
        <w:rPr>
          <w:rFonts w:ascii="仿宋_GB2312" w:hAnsi="仿宋_GB2312" w:eastAsia="仿宋_GB2312"/>
          <w:b w:val="0"/>
          <w:sz w:val="32"/>
        </w:rPr>
        <w:t>五、《一般公共预算财政拨款支出决算表》</w:t>
      </w:r>
    </w:p>
    <w:p w14:paraId="0C68732D">
      <w:pPr>
        <w:spacing w:line="240" w:lineRule="auto"/>
        <w:ind w:firstLine="640"/>
        <w:jc w:val="both"/>
      </w:pPr>
      <w:r>
        <w:rPr>
          <w:rFonts w:ascii="仿宋_GB2312" w:hAnsi="仿宋_GB2312" w:eastAsia="仿宋_GB2312"/>
          <w:b w:val="0"/>
          <w:sz w:val="32"/>
        </w:rPr>
        <w:t>六、《一般公共预算财政拨款基本支出决算表》</w:t>
      </w:r>
    </w:p>
    <w:p w14:paraId="5445B618">
      <w:pPr>
        <w:spacing w:line="240" w:lineRule="auto"/>
        <w:ind w:firstLine="640"/>
        <w:jc w:val="both"/>
      </w:pPr>
      <w:r>
        <w:rPr>
          <w:rFonts w:ascii="仿宋_GB2312" w:hAnsi="仿宋_GB2312" w:eastAsia="仿宋_GB2312"/>
          <w:b w:val="0"/>
          <w:sz w:val="32"/>
        </w:rPr>
        <w:t>七、《政府性基金预算财政拨款收入支出决算表》</w:t>
      </w:r>
    </w:p>
    <w:p w14:paraId="64BCA103">
      <w:pPr>
        <w:spacing w:line="240" w:lineRule="auto"/>
        <w:ind w:firstLine="640"/>
        <w:jc w:val="both"/>
      </w:pPr>
      <w:r>
        <w:rPr>
          <w:rFonts w:ascii="仿宋_GB2312" w:hAnsi="仿宋_GB2312" w:eastAsia="仿宋_GB2312"/>
          <w:b w:val="0"/>
          <w:sz w:val="32"/>
        </w:rPr>
        <w:t>八、《国有资本经营预算财政拨款收入支出决算表》</w:t>
      </w:r>
    </w:p>
    <w:p w14:paraId="2F544806">
      <w:pPr>
        <w:spacing w:line="240" w:lineRule="auto"/>
        <w:ind w:firstLine="640"/>
        <w:jc w:val="both"/>
      </w:pPr>
      <w:r>
        <w:rPr>
          <w:rFonts w:ascii="仿宋_GB2312" w:hAnsi="仿宋_GB2312" w:eastAsia="仿宋_GB2312"/>
          <w:b w:val="0"/>
          <w:sz w:val="32"/>
        </w:rPr>
        <w:t>九、《财政拨款“三公”经费支出决算表》</w:t>
      </w:r>
    </w:p>
    <w:p w14:paraId="1576B47D">
      <w:pPr>
        <w:spacing w:line="240" w:lineRule="auto"/>
        <w:ind w:firstLine="640"/>
        <w:jc w:val="both"/>
      </w:pPr>
    </w:p>
    <w:p w14:paraId="1BB1DFC3">
      <w:pPr>
        <w:spacing w:line="240" w:lineRule="auto"/>
        <w:ind w:firstLine="640"/>
        <w:jc w:val="both"/>
      </w:pPr>
    </w:p>
    <w:p w14:paraId="34B85E9B">
      <w:pPr>
        <w:spacing w:line="240" w:lineRule="auto"/>
        <w:ind w:firstLine="640"/>
        <w:jc w:val="both"/>
      </w:pPr>
    </w:p>
    <w:p w14:paraId="0E002245">
      <w:pPr>
        <w:spacing w:line="240" w:lineRule="auto"/>
        <w:ind w:firstLine="640"/>
        <w:jc w:val="both"/>
      </w:pPr>
    </w:p>
    <w:p w14:paraId="081600D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331A75"/>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5092</Words>
  <Characters>5786</Characters>
  <Lines>0</Lines>
  <Paragraphs>0</Paragraphs>
  <TotalTime>3</TotalTime>
  <ScaleCrop>false</ScaleCrop>
  <LinksUpToDate>false</LinksUpToDate>
  <CharactersWithSpaces>5794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