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170EF5D3">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eastAsia="zh-CN"/>
        </w:rPr>
      </w:pPr>
      <w:r>
        <w:rPr>
          <w:rFonts w:hint="eastAsia" w:ascii="方正小标宋_GBK" w:hAnsi="宋体" w:eastAsia="方正小标宋_GBK"/>
          <w:sz w:val="44"/>
          <w:szCs w:val="44"/>
          <w:highlight w:val="none"/>
          <w:lang w:val="en-US" w:eastAsia="zh-CN"/>
        </w:rPr>
        <w:t>岳普湖泰岳工业园区管理委员会2024</w:t>
      </w:r>
      <w:r>
        <w:rPr>
          <w:rFonts w:hint="eastAsia" w:ascii="方正小标宋_GBK" w:hAnsi="宋体" w:eastAsia="方正小标宋_GBK"/>
          <w:sz w:val="44"/>
          <w:szCs w:val="44"/>
          <w:highlight w:val="none"/>
          <w:lang w:eastAsia="zh-CN"/>
        </w:rPr>
        <w:t>年度</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7DE2642">
      <w:r>
        <w:br w:type="page"/>
      </w:r>
    </w:p>
    <w:p w14:paraId="52074025">
      <w:pPr>
        <w:spacing w:line="640" w:lineRule="exact"/>
        <w:jc w:val="center"/>
        <w:outlineLvl w:val="1"/>
      </w:pPr>
      <w:r>
        <w:rPr>
          <w:rFonts w:ascii="黑体" w:hAnsi="黑体" w:eastAsia="黑体"/>
          <w:sz w:val="32"/>
        </w:rPr>
        <w:t>第一部分 单位概况</w:t>
      </w:r>
    </w:p>
    <w:p w14:paraId="41B7F514">
      <w:pPr>
        <w:spacing w:line="640" w:lineRule="exact"/>
        <w:ind w:firstLine="640"/>
        <w:jc w:val="both"/>
        <w:outlineLvl w:val="2"/>
      </w:pPr>
      <w:r>
        <w:rPr>
          <w:rFonts w:ascii="黑体" w:hAnsi="黑体" w:eastAsia="黑体"/>
          <w:sz w:val="32"/>
        </w:rPr>
        <w:t>一、主要职能</w:t>
      </w:r>
    </w:p>
    <w:p w14:paraId="3040FAD7">
      <w:pPr>
        <w:spacing w:line="580" w:lineRule="exact"/>
        <w:ind w:firstLine="640"/>
        <w:jc w:val="both"/>
      </w:pPr>
      <w:r>
        <w:rPr>
          <w:rFonts w:ascii="仿宋_GB2312" w:hAnsi="仿宋_GB2312" w:eastAsia="仿宋_GB2312"/>
          <w:sz w:val="32"/>
        </w:rPr>
        <w:t>岳普湖泰岳工业园区管委会负责研究编制园区的总体规划、工作计划、扶持政策、各项工作制度，并组织实施；负责园区规划、环评、土管和建设的各项工作；组织开展重点客户招商联络、重点项目推荐、洽谈和对接工作；对入园项目进行联审，办理各项行政许可事项，对入园企业开展“一站式、无间隙”服务；负责园区综合治理、法治宣传、安全生产及环境保护工作。岳普湖泰岳工业园区党工委按照“遵循市场原则、国际规则，诚信、合作、效能、共赢”的园区发展理念，牢固树立“抓项目就是抓重点、抓招商就是抓发展”思想，以园区建设为载体，以项目建设为抓手，以服务企业为宗旨，以“说了算、定了干、干就干好”的工作理念，坚持“筑巢引凤”与“引凤筑巢”双向结合，不断优化招商工作机制和园区功能，统筹推进</w:t>
      </w:r>
      <w:r>
        <w:rPr>
          <w:rFonts w:hint="eastAsia" w:ascii="仿宋_GB2312" w:hAnsi="仿宋_GB2312" w:eastAsia="仿宋_GB2312"/>
          <w:sz w:val="32"/>
          <w:lang w:eastAsia="zh-CN"/>
        </w:rPr>
        <w:t>YQ</w:t>
      </w:r>
      <w:r>
        <w:rPr>
          <w:rFonts w:ascii="仿宋_GB2312" w:hAnsi="仿宋_GB2312" w:eastAsia="仿宋_GB2312"/>
          <w:sz w:val="32"/>
        </w:rPr>
        <w:t>防控、社会稳定、经济发展、脱贫攻坚、安全生产、党风廉政、精神文明、民族团结、群团组织等重点工作，大力提升园区承载能力，有力促进全县经济高质量发展。</w:t>
      </w:r>
    </w:p>
    <w:p w14:paraId="0FEB9676">
      <w:pPr>
        <w:spacing w:line="640" w:lineRule="exact"/>
        <w:ind w:firstLine="640"/>
        <w:jc w:val="both"/>
        <w:outlineLvl w:val="2"/>
      </w:pPr>
      <w:r>
        <w:rPr>
          <w:rFonts w:ascii="黑体" w:hAnsi="黑体" w:eastAsia="黑体"/>
          <w:sz w:val="32"/>
        </w:rPr>
        <w:t>二、机构设置及人员情况</w:t>
      </w:r>
    </w:p>
    <w:p w14:paraId="3DCA3ED1">
      <w:pPr>
        <w:spacing w:line="580" w:lineRule="exact"/>
        <w:ind w:firstLine="640"/>
        <w:jc w:val="both"/>
      </w:pPr>
      <w:r>
        <w:rPr>
          <w:rFonts w:ascii="仿宋_GB2312" w:hAnsi="仿宋_GB2312" w:eastAsia="仿宋_GB2312"/>
          <w:sz w:val="32"/>
        </w:rPr>
        <w:t>岳普湖泰岳工业园区管理委员会2024年度，实有人数15人，其中：在职人员14人，减少2人；离休人员0人，增加0人；退休人员1人,增加0人。</w:t>
      </w:r>
    </w:p>
    <w:p w14:paraId="238C9204">
      <w:pPr>
        <w:spacing w:line="580" w:lineRule="exact"/>
        <w:ind w:firstLine="640"/>
        <w:jc w:val="both"/>
      </w:pPr>
      <w:r>
        <w:rPr>
          <w:rFonts w:ascii="仿宋_GB2312" w:hAnsi="仿宋_GB2312" w:eastAsia="仿宋_GB2312"/>
          <w:sz w:val="32"/>
        </w:rPr>
        <w:t>岳普湖泰岳工业园区管理委员会无下属预算单位，下设5个科室，分别是：综合（党建）办公室、财务中心、政务服务中心、就业服务中心、招商发展中心。</w:t>
      </w:r>
    </w:p>
    <w:p w14:paraId="0BE86A49">
      <w:r>
        <w:br w:type="page"/>
      </w:r>
    </w:p>
    <w:p w14:paraId="12B088E1">
      <w:pPr>
        <w:spacing w:line="240" w:lineRule="auto"/>
        <w:jc w:val="center"/>
        <w:outlineLvl w:val="1"/>
      </w:pPr>
      <w:r>
        <w:rPr>
          <w:rFonts w:ascii="黑体" w:hAnsi="黑体" w:eastAsia="黑体"/>
          <w:sz w:val="32"/>
        </w:rPr>
        <w:t>第二部分 部门决算情况说明</w:t>
      </w:r>
    </w:p>
    <w:p w14:paraId="7F411296">
      <w:pPr>
        <w:spacing w:line="640" w:lineRule="exact"/>
        <w:ind w:firstLine="640"/>
        <w:jc w:val="both"/>
        <w:outlineLvl w:val="2"/>
      </w:pPr>
      <w:r>
        <w:rPr>
          <w:rFonts w:ascii="黑体" w:hAnsi="黑体" w:eastAsia="黑体"/>
          <w:sz w:val="32"/>
        </w:rPr>
        <w:t>一、收入支出决算总体情况说明</w:t>
      </w:r>
    </w:p>
    <w:p w14:paraId="09C60391">
      <w:pPr>
        <w:spacing w:line="580" w:lineRule="exact"/>
        <w:ind w:firstLine="640"/>
        <w:jc w:val="both"/>
      </w:pPr>
      <w:r>
        <w:rPr>
          <w:rFonts w:ascii="仿宋_GB2312" w:hAnsi="仿宋_GB2312" w:eastAsia="仿宋_GB2312"/>
          <w:b/>
          <w:sz w:val="32"/>
        </w:rPr>
        <w:t>2024年度收入总计10,809.96万元，</w:t>
      </w:r>
      <w:r>
        <w:rPr>
          <w:rFonts w:ascii="仿宋_GB2312" w:hAnsi="仿宋_GB2312" w:eastAsia="仿宋_GB2312"/>
          <w:b w:val="0"/>
          <w:sz w:val="32"/>
        </w:rPr>
        <w:t>其中：本年收入合计10,809.96万元，使用非财政拨款结余（含专用结余）0.00万元，年初结转和结余0.00万元。</w:t>
      </w:r>
    </w:p>
    <w:p w14:paraId="0ED0F4EA">
      <w:pPr>
        <w:spacing w:line="580" w:lineRule="exact"/>
        <w:ind w:firstLine="640"/>
        <w:jc w:val="both"/>
      </w:pPr>
      <w:r>
        <w:rPr>
          <w:rFonts w:ascii="仿宋_GB2312" w:hAnsi="仿宋_GB2312" w:eastAsia="仿宋_GB2312"/>
          <w:b/>
          <w:sz w:val="32"/>
        </w:rPr>
        <w:t>2024年度支出总计10,809.96万元，</w:t>
      </w:r>
      <w:r>
        <w:rPr>
          <w:rFonts w:ascii="仿宋_GB2312" w:hAnsi="仿宋_GB2312" w:eastAsia="仿宋_GB2312"/>
          <w:b w:val="0"/>
          <w:sz w:val="32"/>
        </w:rPr>
        <w:t>其中：本年支出合计10,809.96万元，结余分配0.00万元，年末结转和结余0.00万元。</w:t>
      </w:r>
    </w:p>
    <w:p w14:paraId="0318E68F">
      <w:pPr>
        <w:spacing w:line="580" w:lineRule="exact"/>
        <w:ind w:firstLine="640"/>
        <w:jc w:val="both"/>
      </w:pPr>
      <w:r>
        <w:rPr>
          <w:rFonts w:ascii="仿宋_GB2312" w:hAnsi="仿宋_GB2312" w:eastAsia="仿宋_GB2312"/>
          <w:b w:val="0"/>
          <w:sz w:val="32"/>
        </w:rPr>
        <w:t>收入支出总体与上年相比，增加9,097.08万元，增长531.10%，主要原因是：本年岳普湖县高标准纺织产业园标准厂房建设项目、岳普湖县泰岳工业园区轻工建材园标准厂房及配套附属建设项目、工业固废填埋场工程欠款项目、岳普湖县工业强基增效园区提升项目、岳普湖县高标准纺织产业园标准厂房建设项目基础设施配套费项目增加，导致经费较上年增加。</w:t>
      </w:r>
    </w:p>
    <w:p w14:paraId="7BCCC388">
      <w:pPr>
        <w:spacing w:line="640" w:lineRule="exact"/>
        <w:ind w:firstLine="640"/>
        <w:jc w:val="both"/>
        <w:outlineLvl w:val="2"/>
      </w:pPr>
      <w:r>
        <w:rPr>
          <w:rFonts w:ascii="黑体" w:hAnsi="黑体" w:eastAsia="黑体"/>
          <w:sz w:val="32"/>
        </w:rPr>
        <w:t>二、收入决算情况说明</w:t>
      </w:r>
    </w:p>
    <w:p w14:paraId="76633410">
      <w:pPr>
        <w:spacing w:line="580" w:lineRule="exact"/>
        <w:ind w:firstLine="640"/>
        <w:jc w:val="both"/>
      </w:pPr>
      <w:r>
        <w:rPr>
          <w:rFonts w:ascii="仿宋_GB2312" w:hAnsi="仿宋_GB2312" w:eastAsia="仿宋_GB2312"/>
          <w:b/>
          <w:sz w:val="32"/>
        </w:rPr>
        <w:t>本年收入10,809.96万元，</w:t>
      </w:r>
      <w:r>
        <w:rPr>
          <w:rFonts w:ascii="仿宋_GB2312" w:hAnsi="仿宋_GB2312" w:eastAsia="仿宋_GB2312"/>
          <w:b w:val="0"/>
          <w:sz w:val="32"/>
        </w:rPr>
        <w:t>其中：财政拨款收入10,196.61万元，占94.33%；上级补助收入0.00万元，占0.00%；事业收入0.00万元，占0.00%；经营收入0.00万元，占0.00%；附属单位上缴收入0.00万元，占0.00%；其他收入613.35万元，占5.67%。</w:t>
      </w:r>
    </w:p>
    <w:p w14:paraId="6201A6CE">
      <w:pPr>
        <w:spacing w:line="640" w:lineRule="exact"/>
        <w:ind w:firstLine="640"/>
        <w:jc w:val="both"/>
        <w:outlineLvl w:val="2"/>
      </w:pPr>
      <w:r>
        <w:rPr>
          <w:rFonts w:ascii="黑体" w:hAnsi="黑体" w:eastAsia="黑体"/>
          <w:sz w:val="32"/>
        </w:rPr>
        <w:t>三、支出决算情况说明</w:t>
      </w:r>
    </w:p>
    <w:p w14:paraId="5DC5CED8">
      <w:pPr>
        <w:spacing w:line="580" w:lineRule="exact"/>
        <w:ind w:firstLine="640"/>
        <w:jc w:val="both"/>
      </w:pPr>
      <w:r>
        <w:rPr>
          <w:rFonts w:ascii="仿宋_GB2312" w:hAnsi="仿宋_GB2312" w:eastAsia="仿宋_GB2312"/>
          <w:b/>
          <w:sz w:val="32"/>
        </w:rPr>
        <w:t>本年支出10,809.96万元，</w:t>
      </w:r>
      <w:r>
        <w:rPr>
          <w:rFonts w:ascii="仿宋_GB2312" w:hAnsi="仿宋_GB2312" w:eastAsia="仿宋_GB2312"/>
          <w:b w:val="0"/>
          <w:sz w:val="32"/>
        </w:rPr>
        <w:t>其中：基本支出288.35万元，占2.67%；项目支出10,521.61万元，占97.33%；上缴上级支出0.00万元，占0.00%；经营支出0.00万元，占0.00%；对附属单位补助支出0.00万元，占0.00%。</w:t>
      </w:r>
    </w:p>
    <w:p w14:paraId="6931F5E5">
      <w:pPr>
        <w:spacing w:line="640" w:lineRule="exact"/>
        <w:ind w:firstLine="640"/>
        <w:jc w:val="both"/>
        <w:outlineLvl w:val="2"/>
      </w:pPr>
      <w:r>
        <w:rPr>
          <w:rFonts w:ascii="黑体" w:hAnsi="黑体" w:eastAsia="黑体"/>
          <w:sz w:val="32"/>
        </w:rPr>
        <w:t>四、财政拨款收入支出决算总体情况说明</w:t>
      </w:r>
    </w:p>
    <w:p w14:paraId="46B1DC2B">
      <w:pPr>
        <w:spacing w:line="580" w:lineRule="exact"/>
        <w:ind w:firstLine="640"/>
        <w:jc w:val="both"/>
      </w:pPr>
      <w:r>
        <w:rPr>
          <w:rFonts w:ascii="仿宋_GB2312" w:hAnsi="仿宋_GB2312" w:eastAsia="仿宋_GB2312"/>
          <w:b/>
          <w:sz w:val="32"/>
        </w:rPr>
        <w:t>2024年度财政拨款收入总计10,196.61万元，</w:t>
      </w:r>
      <w:r>
        <w:rPr>
          <w:rFonts w:ascii="仿宋_GB2312" w:hAnsi="仿宋_GB2312" w:eastAsia="仿宋_GB2312"/>
          <w:b w:val="0"/>
          <w:sz w:val="32"/>
        </w:rPr>
        <w:t>其中：年初财政拨款结转和结余0.00万元，本年财政拨款收入10,196.61万元。</w:t>
      </w:r>
      <w:r>
        <w:rPr>
          <w:rFonts w:ascii="仿宋_GB2312" w:hAnsi="仿宋_GB2312" w:eastAsia="仿宋_GB2312"/>
          <w:b/>
          <w:sz w:val="32"/>
        </w:rPr>
        <w:t>财政拨款支出总计10,196.61万元，</w:t>
      </w:r>
      <w:r>
        <w:rPr>
          <w:rFonts w:ascii="仿宋_GB2312" w:hAnsi="仿宋_GB2312" w:eastAsia="仿宋_GB2312"/>
          <w:b w:val="0"/>
          <w:sz w:val="32"/>
        </w:rPr>
        <w:t>其中：年末财政拨款结转和结余0.00万元，本年财政拨款支出10,196.61万元。</w:t>
      </w:r>
    </w:p>
    <w:p w14:paraId="337F34AA">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8,734.42万元，增长597.35%，主要原因是：本年岳普湖县高标准纺织产业园标准厂房建设项目、岳普湖县泰岳工业园区轻工建材园标准厂房及配套附属建设项目、工业固废填埋场工程欠款项目、岳普湖县工业强基增效园区提升项目、岳普湖县高标准纺织产业园标准厂房建设项目基础设施配套费项目增加，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2,107.75万元，决算数10,196.61万元，预决算差异率383.77%，主要原因是：年中追加工业固废填埋场工程欠款项目、岳普湖县泰岳工业园区轻工建材园标准厂房及配套附属建设项目、岳普湖县高标准纺织产业园标准厂房建设项目，导致预决算存在差异。</w:t>
      </w:r>
    </w:p>
    <w:p w14:paraId="68330EDE">
      <w:pPr>
        <w:spacing w:line="640" w:lineRule="exact"/>
        <w:ind w:firstLine="640"/>
        <w:jc w:val="both"/>
        <w:outlineLvl w:val="2"/>
      </w:pPr>
      <w:r>
        <w:rPr>
          <w:rFonts w:ascii="黑体" w:hAnsi="黑体" w:eastAsia="黑体"/>
          <w:sz w:val="32"/>
        </w:rPr>
        <w:t>五、一般公共预算财政拨款支出决算情况说明</w:t>
      </w:r>
    </w:p>
    <w:p w14:paraId="4FBC4842">
      <w:pPr>
        <w:spacing w:line="640" w:lineRule="exact"/>
        <w:ind w:firstLine="640"/>
        <w:jc w:val="both"/>
        <w:outlineLvl w:val="3"/>
      </w:pPr>
      <w:r>
        <w:rPr>
          <w:rFonts w:ascii="楷体_GB2312" w:hAnsi="楷体_GB2312" w:eastAsia="楷体_GB2312"/>
          <w:b/>
          <w:sz w:val="32"/>
        </w:rPr>
        <w:t>（一）一般公共预算财政拨款支出决算总体情况</w:t>
      </w:r>
    </w:p>
    <w:p w14:paraId="229F3013">
      <w:pPr>
        <w:spacing w:line="580" w:lineRule="exact"/>
        <w:ind w:firstLine="640"/>
        <w:jc w:val="both"/>
      </w:pPr>
      <w:r>
        <w:rPr>
          <w:rFonts w:ascii="仿宋_GB2312" w:hAnsi="仿宋_GB2312" w:eastAsia="仿宋_GB2312"/>
          <w:b/>
          <w:sz w:val="32"/>
        </w:rPr>
        <w:t>2024年度一般公共预算财政拨款支出3,552.08万元，</w:t>
      </w:r>
      <w:r>
        <w:rPr>
          <w:rFonts w:ascii="仿宋_GB2312" w:hAnsi="仿宋_GB2312" w:eastAsia="仿宋_GB2312"/>
          <w:b w:val="0"/>
          <w:sz w:val="32"/>
        </w:rPr>
        <w:t>占本年支出合计的32.86%。</w:t>
      </w:r>
      <w:r>
        <w:rPr>
          <w:rFonts w:ascii="仿宋_GB2312" w:hAnsi="仿宋_GB2312" w:eastAsia="仿宋_GB2312"/>
          <w:b/>
          <w:sz w:val="32"/>
        </w:rPr>
        <w:t>与上年相比，</w:t>
      </w:r>
      <w:r>
        <w:rPr>
          <w:rFonts w:ascii="仿宋_GB2312" w:hAnsi="仿宋_GB2312" w:eastAsia="仿宋_GB2312"/>
          <w:b w:val="0"/>
          <w:sz w:val="32"/>
        </w:rPr>
        <w:t>增加2,089.89万元，增长142.93%，主要原因是：本年岳普湖县泰岳工业园区轻工建材园标准厂房及配套附属建设项目、工业固废填埋场工程欠款项目、岳普湖县工业强基增效园区提升项目、岳普湖县高标准纺织产业园标准厂房建设项目基础设施配套费项目增加，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年初预算数2,107.75万元，决算数3,552.08万元，预决算差异率68.52%，主要原因是：年中追加工业固废填埋场工程欠款项目、岳普湖县泰岳工业园区轻工建材园标准厂房及配套附属建设项目，导致预决算存在差异。</w:t>
      </w:r>
    </w:p>
    <w:p w14:paraId="1A14F759">
      <w:pPr>
        <w:spacing w:line="640" w:lineRule="exact"/>
        <w:ind w:firstLine="640"/>
        <w:jc w:val="both"/>
        <w:outlineLvl w:val="3"/>
      </w:pPr>
      <w:r>
        <w:rPr>
          <w:rFonts w:ascii="楷体_GB2312" w:hAnsi="楷体_GB2312" w:eastAsia="楷体_GB2312"/>
          <w:b/>
          <w:sz w:val="32"/>
        </w:rPr>
        <w:t>（二）一般公共预算财政拨款支出决算结构情况</w:t>
      </w:r>
    </w:p>
    <w:p w14:paraId="600B926C">
      <w:pPr>
        <w:spacing w:line="580" w:lineRule="exact"/>
        <w:ind w:firstLine="640"/>
        <w:jc w:val="both"/>
      </w:pPr>
      <w:r>
        <w:rPr>
          <w:rFonts w:ascii="仿宋_GB2312" w:hAnsi="仿宋_GB2312" w:eastAsia="仿宋_GB2312"/>
          <w:b w:val="0"/>
          <w:sz w:val="32"/>
        </w:rPr>
        <w:t>1.一般公共服务支出(类)490.72万元,占13.82%。</w:t>
      </w:r>
    </w:p>
    <w:p w14:paraId="552A664E">
      <w:pPr>
        <w:spacing w:line="580" w:lineRule="exact"/>
        <w:ind w:firstLine="640"/>
        <w:jc w:val="both"/>
      </w:pPr>
      <w:r>
        <w:rPr>
          <w:rFonts w:ascii="仿宋_GB2312" w:hAnsi="仿宋_GB2312" w:eastAsia="仿宋_GB2312"/>
          <w:b w:val="0"/>
          <w:sz w:val="32"/>
        </w:rPr>
        <w:t>2.社会保障和就业支出(类)28.86万元,占0.81%。</w:t>
      </w:r>
    </w:p>
    <w:p w14:paraId="2DB4A507">
      <w:pPr>
        <w:spacing w:line="580" w:lineRule="exact"/>
        <w:ind w:firstLine="640"/>
        <w:jc w:val="both"/>
      </w:pPr>
      <w:r>
        <w:rPr>
          <w:rFonts w:ascii="仿宋_GB2312" w:hAnsi="仿宋_GB2312" w:eastAsia="仿宋_GB2312"/>
          <w:b w:val="0"/>
          <w:sz w:val="32"/>
        </w:rPr>
        <w:t>3.卫生健康支出(类)11.73万元,占0.33%。</w:t>
      </w:r>
    </w:p>
    <w:p w14:paraId="6F6ED83F">
      <w:pPr>
        <w:spacing w:line="580" w:lineRule="exact"/>
        <w:ind w:firstLine="640"/>
        <w:jc w:val="both"/>
      </w:pPr>
      <w:r>
        <w:rPr>
          <w:rFonts w:ascii="仿宋_GB2312" w:hAnsi="仿宋_GB2312" w:eastAsia="仿宋_GB2312"/>
          <w:b w:val="0"/>
          <w:sz w:val="32"/>
        </w:rPr>
        <w:t>4.农林水支出(类)1,500.00万元,占42.23%。</w:t>
      </w:r>
    </w:p>
    <w:p w14:paraId="1DC1DED3">
      <w:pPr>
        <w:spacing w:line="580" w:lineRule="exact"/>
        <w:ind w:firstLine="640"/>
        <w:jc w:val="both"/>
      </w:pPr>
      <w:r>
        <w:rPr>
          <w:rFonts w:ascii="仿宋_GB2312" w:hAnsi="仿宋_GB2312" w:eastAsia="仿宋_GB2312"/>
          <w:b w:val="0"/>
          <w:sz w:val="32"/>
        </w:rPr>
        <w:t>5.资源勘探工业信息等支出(类)1,498.32万元,占42.18%。</w:t>
      </w:r>
    </w:p>
    <w:p w14:paraId="1EFCCA84">
      <w:pPr>
        <w:spacing w:line="580" w:lineRule="exact"/>
        <w:ind w:firstLine="640"/>
        <w:jc w:val="both"/>
      </w:pPr>
      <w:r>
        <w:rPr>
          <w:rFonts w:ascii="仿宋_GB2312" w:hAnsi="仿宋_GB2312" w:eastAsia="仿宋_GB2312"/>
          <w:b w:val="0"/>
          <w:sz w:val="32"/>
        </w:rPr>
        <w:t>6.住房保障支出(类)22.45万元,占0.63%。</w:t>
      </w:r>
    </w:p>
    <w:p w14:paraId="4FD376F3">
      <w:pPr>
        <w:spacing w:line="640" w:lineRule="exact"/>
        <w:ind w:firstLine="640"/>
        <w:jc w:val="both"/>
        <w:outlineLvl w:val="3"/>
      </w:pPr>
      <w:r>
        <w:rPr>
          <w:rFonts w:ascii="楷体_GB2312" w:hAnsi="楷体_GB2312" w:eastAsia="楷体_GB2312"/>
          <w:b/>
          <w:sz w:val="32"/>
        </w:rPr>
        <w:t>（三）一般公共预算财政拨款支出决算具体情况</w:t>
      </w:r>
    </w:p>
    <w:p w14:paraId="48F41206">
      <w:pPr>
        <w:spacing w:line="580" w:lineRule="exact"/>
        <w:ind w:firstLine="640"/>
        <w:jc w:val="both"/>
      </w:pPr>
      <w:r>
        <w:rPr>
          <w:rFonts w:ascii="仿宋_GB2312" w:hAnsi="仿宋_GB2312" w:eastAsia="仿宋_GB2312"/>
          <w:b w:val="0"/>
          <w:sz w:val="32"/>
        </w:rPr>
        <w:t>1.一般公共服务支出(类)商贸事务(款)事业运行(项):支出决算数为225.31万元，比上年决算增加14.15万元，增长6.70%,主要原因是：本年在职人员工资调增，导致相关人员经费较上年有所增加。</w:t>
      </w:r>
    </w:p>
    <w:p w14:paraId="54F6277A">
      <w:pPr>
        <w:spacing w:line="580" w:lineRule="exact"/>
        <w:ind w:firstLine="640"/>
        <w:jc w:val="both"/>
      </w:pPr>
      <w:r>
        <w:rPr>
          <w:rFonts w:ascii="仿宋_GB2312" w:hAnsi="仿宋_GB2312" w:eastAsia="仿宋_GB2312"/>
          <w:b w:val="0"/>
          <w:sz w:val="32"/>
        </w:rPr>
        <w:t>2.一般公共服务支出(类)商贸事务(款)其他商贸事务支出(项):支出决算数为265.41万元，比上年决算减少328.50万元，下降55.31%,主要原因是：本年减少污水处理厂工程欠款项目、工业园区政府配建标准厂房出售缴纳税费、泰岳工业园区招商引资企业电力配套设施项目、岳普湖县泰岳园区轻工建材园标准厂房配套附属建设项目、工业强基增效园区提升项目水土保持补偿费、招商办办公区改造费、岳普湖县新型社区（工业园区）扶贫车间及附属设施建设项目森林植被恢复费、孵化园一期宿舍楼附属项目、解决服装家纺园医疗卫生区域整顿费项目、新岳服装家纺园2022年11月至12月底电费项目、鸿亚纺织评估费项目、泰岳服装家纺园暖气维修</w:t>
      </w:r>
      <w:r>
        <w:rPr>
          <w:rFonts w:hint="eastAsia" w:ascii="仿宋_GB2312" w:hAnsi="仿宋_GB2312" w:eastAsia="仿宋_GB2312"/>
          <w:b w:val="0"/>
          <w:sz w:val="32"/>
          <w:lang w:eastAsia="zh-CN"/>
        </w:rPr>
        <w:t>费</w:t>
      </w:r>
      <w:r>
        <w:rPr>
          <w:rFonts w:ascii="仿宋_GB2312" w:hAnsi="仿宋_GB2312" w:eastAsia="仿宋_GB2312"/>
          <w:b w:val="0"/>
          <w:sz w:val="32"/>
        </w:rPr>
        <w:t>项目、园区实施的项目土地租赁费项目、园区项目土地交易服务费项目。</w:t>
      </w:r>
    </w:p>
    <w:p w14:paraId="14C7DFA8">
      <w:pPr>
        <w:spacing w:line="580" w:lineRule="exact"/>
        <w:ind w:firstLine="640"/>
        <w:jc w:val="both"/>
      </w:pPr>
      <w:r>
        <w:rPr>
          <w:rFonts w:ascii="仿宋_GB2312" w:hAnsi="仿宋_GB2312" w:eastAsia="仿宋_GB2312"/>
          <w:b w:val="0"/>
          <w:sz w:val="32"/>
        </w:rPr>
        <w:t>3.社会保障和就业支出(类)行政事业单位养老支出(款)事业单位离退休(项):支出决算数为1.26万元，比上年决算增加0.20万元，增长18.87%,主要原因是：本年补发退休人员绩效，导致退休费较上年增加。</w:t>
      </w:r>
    </w:p>
    <w:p w14:paraId="6B563DA1">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27.59万元，比上年决算增加4.13万元，增长17.60%,主要原因是：本年在职人员工资基数调增，养老缴费基数上涨，相应支出增加。</w:t>
      </w:r>
    </w:p>
    <w:p w14:paraId="2B8BBDFB">
      <w:pPr>
        <w:spacing w:line="580" w:lineRule="exact"/>
        <w:ind w:firstLine="640"/>
        <w:jc w:val="both"/>
      </w:pPr>
      <w:r>
        <w:rPr>
          <w:rFonts w:ascii="仿宋_GB2312" w:hAnsi="仿宋_GB2312" w:eastAsia="仿宋_GB2312"/>
          <w:b w:val="0"/>
          <w:sz w:val="32"/>
        </w:rPr>
        <w:t>5.卫生健康支出(类)行政事业单位医疗(款)事业单位医疗(项):支出决算数为11.73万元，比上年决算增加1.30万元，增长12.46%,主要原因是：本年在职人员工资基数调增，医疗缴费基数上涨，相应支出增加。</w:t>
      </w:r>
    </w:p>
    <w:p w14:paraId="2287B54D">
      <w:pPr>
        <w:spacing w:line="580" w:lineRule="exact"/>
        <w:ind w:firstLine="640"/>
        <w:jc w:val="both"/>
      </w:pPr>
      <w:r>
        <w:rPr>
          <w:rFonts w:ascii="仿宋_GB2312" w:hAnsi="仿宋_GB2312" w:eastAsia="仿宋_GB2312"/>
          <w:b w:val="0"/>
          <w:sz w:val="32"/>
        </w:rPr>
        <w:t>6.农林水支出(类)其他农林水支出(款)其他农林水支出(项):支出决算数为1,500.00万元，比上年决算增加1,500.00万元，增长100.00%,主要原因是：本年增加岳普湖县泰岳工业园区轻工建材园标准厂房及配套附属建设</w:t>
      </w:r>
      <w:r>
        <w:rPr>
          <w:rFonts w:hint="eastAsia" w:ascii="仿宋_GB2312" w:hAnsi="仿宋_GB2312" w:eastAsia="仿宋_GB2312"/>
          <w:b w:val="0"/>
          <w:sz w:val="32"/>
          <w:lang w:eastAsia="zh-CN"/>
        </w:rPr>
        <w:t>项目</w:t>
      </w:r>
      <w:r>
        <w:rPr>
          <w:rFonts w:ascii="仿宋_GB2312" w:hAnsi="仿宋_GB2312" w:eastAsia="仿宋_GB2312"/>
          <w:b w:val="0"/>
          <w:sz w:val="32"/>
        </w:rPr>
        <w:t>。</w:t>
      </w:r>
    </w:p>
    <w:p w14:paraId="40617EF1">
      <w:pPr>
        <w:spacing w:line="580" w:lineRule="exact"/>
        <w:ind w:firstLine="640"/>
        <w:jc w:val="both"/>
      </w:pPr>
      <w:r>
        <w:rPr>
          <w:rFonts w:ascii="仿宋_GB2312" w:hAnsi="仿宋_GB2312" w:eastAsia="仿宋_GB2312"/>
          <w:b w:val="0"/>
          <w:sz w:val="32"/>
        </w:rPr>
        <w:t>7.资源勘探工业信息等支出(类)制造业(款)纺织业(项):支出决算数为1,498.32万元，比上年决算增加895.06万元，增长148.37%,主要原因是：本年增加岳普湖县高标准纺织产业园标准厂房建设项目基础设施配套费项目。</w:t>
      </w:r>
    </w:p>
    <w:p w14:paraId="1BEEDFA7">
      <w:pPr>
        <w:spacing w:line="580" w:lineRule="exact"/>
        <w:ind w:firstLine="640"/>
        <w:jc w:val="both"/>
      </w:pPr>
      <w:r>
        <w:rPr>
          <w:rFonts w:ascii="仿宋_GB2312" w:hAnsi="仿宋_GB2312" w:eastAsia="仿宋_GB2312"/>
          <w:b w:val="0"/>
          <w:sz w:val="32"/>
        </w:rPr>
        <w:t>8.住房保障支出(类)住房改革支出(款)住房公积金(项):支出决算数为22.45万元，比上年决算增加3.53万元，增长18.66%,主要原因是：年在职人员工资基数调增，公积金缴费基数上涨，相应支出增加。</w:t>
      </w:r>
    </w:p>
    <w:p w14:paraId="5CF70ED2">
      <w:pPr>
        <w:spacing w:line="640" w:lineRule="exact"/>
        <w:ind w:firstLine="640"/>
        <w:jc w:val="both"/>
        <w:outlineLvl w:val="2"/>
      </w:pPr>
      <w:r>
        <w:rPr>
          <w:rFonts w:ascii="黑体" w:hAnsi="黑体" w:eastAsia="黑体"/>
          <w:sz w:val="32"/>
        </w:rPr>
        <w:t>六、一般公共预算财政拨款基本支出决算情况说明</w:t>
      </w:r>
    </w:p>
    <w:p w14:paraId="5729E410">
      <w:pPr>
        <w:spacing w:line="580" w:lineRule="exact"/>
        <w:ind w:firstLine="640"/>
        <w:jc w:val="both"/>
      </w:pPr>
      <w:r>
        <w:rPr>
          <w:rFonts w:ascii="仿宋_GB2312" w:hAnsi="仿宋_GB2312" w:eastAsia="仿宋_GB2312"/>
          <w:b w:val="0"/>
          <w:sz w:val="32"/>
        </w:rPr>
        <w:t>2024年度一般公共预算财政拨款基本支出288.35万元，其中：</w:t>
      </w:r>
      <w:r>
        <w:rPr>
          <w:rFonts w:ascii="仿宋_GB2312" w:hAnsi="仿宋_GB2312" w:eastAsia="仿宋_GB2312"/>
          <w:b/>
          <w:sz w:val="32"/>
        </w:rPr>
        <w:t>人员经费273.92万元，</w:t>
      </w:r>
      <w:r>
        <w:rPr>
          <w:rFonts w:ascii="仿宋_GB2312" w:hAnsi="仿宋_GB2312" w:eastAsia="仿宋_GB2312"/>
          <w:b w:val="0"/>
          <w:sz w:val="32"/>
        </w:rPr>
        <w:t>包括：基本工资、津贴补贴、奖金、绩效工资、机关事业单位基本养老保险缴费、职工基本医疗保险缴费、其他社会保障缴费、住房公积金、其他工资福利支出、退休费。</w:t>
      </w:r>
    </w:p>
    <w:p w14:paraId="30351944">
      <w:pPr>
        <w:spacing w:line="580" w:lineRule="exact"/>
        <w:ind w:firstLine="640"/>
        <w:jc w:val="both"/>
      </w:pPr>
      <w:r>
        <w:rPr>
          <w:rFonts w:ascii="仿宋_GB2312" w:hAnsi="仿宋_GB2312" w:eastAsia="仿宋_GB2312"/>
          <w:b/>
          <w:sz w:val="32"/>
        </w:rPr>
        <w:t>公用经费14.43万元，</w:t>
      </w:r>
      <w:r>
        <w:rPr>
          <w:rFonts w:ascii="仿宋_GB2312" w:hAnsi="仿宋_GB2312" w:eastAsia="仿宋_GB2312"/>
          <w:b w:val="0"/>
          <w:sz w:val="32"/>
        </w:rPr>
        <w:t>包括：办公费、水费、电费、邮电费、取暖费、物业管理费、差旅费、公务用车运行维护费。</w:t>
      </w:r>
    </w:p>
    <w:p w14:paraId="0A1C6BD6">
      <w:pPr>
        <w:spacing w:line="640" w:lineRule="exact"/>
        <w:ind w:firstLine="640"/>
        <w:jc w:val="both"/>
        <w:outlineLvl w:val="2"/>
      </w:pPr>
      <w:r>
        <w:rPr>
          <w:rFonts w:ascii="黑体" w:hAnsi="黑体" w:eastAsia="黑体"/>
          <w:sz w:val="32"/>
        </w:rPr>
        <w:t>七、政府性基金预算财政拨款收入支出决算情况说明</w:t>
      </w:r>
    </w:p>
    <w:p w14:paraId="3DC33B13">
      <w:pPr>
        <w:spacing w:line="580" w:lineRule="exact"/>
        <w:ind w:firstLine="640"/>
        <w:jc w:val="both"/>
      </w:pPr>
      <w:r>
        <w:rPr>
          <w:rFonts w:ascii="仿宋_GB2312" w:hAnsi="仿宋_GB2312" w:eastAsia="仿宋_GB2312"/>
          <w:b/>
          <w:sz w:val="32"/>
        </w:rPr>
        <w:t>2024年度政府性基金预算财政拨款收入总计6,644.53万元，</w:t>
      </w:r>
      <w:r>
        <w:rPr>
          <w:rFonts w:ascii="仿宋_GB2312" w:hAnsi="仿宋_GB2312" w:eastAsia="仿宋_GB2312"/>
          <w:b w:val="0"/>
          <w:sz w:val="32"/>
        </w:rPr>
        <w:t>其中：年初结转和结余0.00万元，本年收入6,644.53万元。</w:t>
      </w:r>
      <w:r>
        <w:rPr>
          <w:rFonts w:ascii="仿宋_GB2312" w:hAnsi="仿宋_GB2312" w:eastAsia="仿宋_GB2312"/>
          <w:b/>
          <w:sz w:val="32"/>
        </w:rPr>
        <w:t>政府性基金预算财政拨款支出总计6,644.53万元，</w:t>
      </w:r>
      <w:r>
        <w:rPr>
          <w:rFonts w:ascii="仿宋_GB2312" w:hAnsi="仿宋_GB2312" w:eastAsia="仿宋_GB2312"/>
          <w:b w:val="0"/>
          <w:sz w:val="32"/>
        </w:rPr>
        <w:t>其中：年末结转和结余0.00万元，本年支出6,644.53万元。</w:t>
      </w:r>
    </w:p>
    <w:p w14:paraId="3271B67A">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增加6,644.53万元，增长100.00%，主要原因是：本年增加岳普湖县高标准纺织产业园标准厂房建设项目。</w:t>
      </w:r>
      <w:r>
        <w:rPr>
          <w:rFonts w:ascii="仿宋_GB2312" w:hAnsi="仿宋_GB2312" w:eastAsia="仿宋_GB2312"/>
          <w:b/>
          <w:sz w:val="32"/>
        </w:rPr>
        <w:t>与年初预算相比，</w:t>
      </w:r>
      <w:r>
        <w:rPr>
          <w:rFonts w:ascii="仿宋_GB2312" w:hAnsi="仿宋_GB2312" w:eastAsia="仿宋_GB2312"/>
          <w:b w:val="0"/>
          <w:sz w:val="32"/>
        </w:rPr>
        <w:t>年初预算数0.00万元，决算数6,644.53万元，预决算差异率100.00%，主要原因是：年中追加岳普湖县高标准纺织产业园标准厂房建设项目，导致预决算存在差异。</w:t>
      </w:r>
    </w:p>
    <w:p w14:paraId="35858616">
      <w:pPr>
        <w:spacing w:line="580" w:lineRule="exact"/>
        <w:ind w:firstLine="640"/>
        <w:jc w:val="both"/>
      </w:pPr>
      <w:r>
        <w:rPr>
          <w:rFonts w:ascii="仿宋_GB2312" w:hAnsi="仿宋_GB2312" w:eastAsia="仿宋_GB2312"/>
          <w:b w:val="0"/>
          <w:sz w:val="32"/>
        </w:rPr>
        <w:t>政府性基金预算财政拨款支出6,644.53万元。</w:t>
      </w:r>
    </w:p>
    <w:p w14:paraId="32319F93">
      <w:pPr>
        <w:spacing w:line="580" w:lineRule="exact"/>
        <w:ind w:firstLine="640"/>
        <w:jc w:val="both"/>
      </w:pPr>
      <w:r>
        <w:rPr>
          <w:rFonts w:ascii="仿宋_GB2312" w:hAnsi="仿宋_GB2312" w:eastAsia="仿宋_GB2312"/>
          <w:b w:val="0"/>
          <w:sz w:val="32"/>
        </w:rPr>
        <w:t>1.其他支出(类)其他政府性基金及对应专项债务收入安排的支出(款)其他地方自行试点项目收益专项债券收入安排的支出(项):支出决算数为6,644.53万元，比上年决算增加6,644.53万元，增长100.00%,主要原因是：本年增加岳普湖县高标准纺织产业园标准厂房建设项目。</w:t>
      </w:r>
    </w:p>
    <w:p w14:paraId="6D08AFCE">
      <w:pPr>
        <w:spacing w:line="640" w:lineRule="exact"/>
        <w:ind w:firstLine="640"/>
        <w:jc w:val="both"/>
        <w:outlineLvl w:val="2"/>
      </w:pPr>
      <w:r>
        <w:rPr>
          <w:rFonts w:ascii="黑体" w:hAnsi="黑体" w:eastAsia="黑体"/>
          <w:sz w:val="32"/>
        </w:rPr>
        <w:t>八、国有资本经营预算财政拨款收入支出决算情况说明</w:t>
      </w:r>
    </w:p>
    <w:p w14:paraId="385A52FE">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C0D5D6C">
      <w:pPr>
        <w:spacing w:line="640" w:lineRule="exact"/>
        <w:ind w:firstLine="640"/>
        <w:jc w:val="both"/>
        <w:outlineLvl w:val="2"/>
      </w:pPr>
      <w:r>
        <w:rPr>
          <w:rFonts w:ascii="黑体" w:hAnsi="黑体" w:eastAsia="黑体"/>
          <w:sz w:val="32"/>
        </w:rPr>
        <w:t>九、财政拨款“三公”经费支出决算情况说明</w:t>
      </w:r>
    </w:p>
    <w:p w14:paraId="5249A407">
      <w:pPr>
        <w:spacing w:line="580" w:lineRule="exact"/>
        <w:ind w:firstLine="640"/>
        <w:jc w:val="both"/>
      </w:pPr>
      <w:r>
        <w:rPr>
          <w:rFonts w:ascii="仿宋_GB2312" w:hAnsi="仿宋_GB2312" w:eastAsia="仿宋_GB2312"/>
          <w:b/>
          <w:sz w:val="32"/>
        </w:rPr>
        <w:t>2024年度财政拨款“三公”经费支出2.70万元，</w:t>
      </w:r>
      <w:r>
        <w:rPr>
          <w:rFonts w:ascii="仿宋_GB2312" w:hAnsi="仿宋_GB2312" w:eastAsia="仿宋_GB2312"/>
          <w:b w:val="0"/>
          <w:sz w:val="32"/>
        </w:rPr>
        <w:t>比上年增加1.64万元，增长154.72%，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2.70万元，占100.00%，比上年增加1.64万元，增长154.72%，主要原因是：本年因业务需求，用车次数增加，燃油费增加，导致公务用车运行维护费较上年增加。公务接待费支出0.00万元，占0.00%，比上年增加0.00万元，增长0.00%，主要原因是：2023年与2024年均未安排公务接待费支出。</w:t>
      </w:r>
    </w:p>
    <w:p w14:paraId="094AEAC2">
      <w:pPr>
        <w:spacing w:line="580" w:lineRule="exact"/>
        <w:ind w:firstLine="640"/>
        <w:jc w:val="both"/>
      </w:pPr>
      <w:r>
        <w:rPr>
          <w:rFonts w:ascii="仿宋_GB2312" w:hAnsi="仿宋_GB2312" w:eastAsia="仿宋_GB2312"/>
          <w:b/>
          <w:sz w:val="32"/>
        </w:rPr>
        <w:t>具体情况如下：</w:t>
      </w:r>
    </w:p>
    <w:p w14:paraId="2C84614D">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041215F">
      <w:pPr>
        <w:spacing w:line="580" w:lineRule="exact"/>
        <w:ind w:firstLine="640"/>
        <w:jc w:val="both"/>
      </w:pPr>
      <w:r>
        <w:rPr>
          <w:rFonts w:ascii="仿宋_GB2312" w:hAnsi="仿宋_GB2312" w:eastAsia="仿宋_GB2312"/>
          <w:b w:val="0"/>
          <w:sz w:val="32"/>
        </w:rPr>
        <w:t>公务用车购置及运行维护费2.70万元，其中：公务用车购置费0.00万元，公务用车运行维护费2.70万元。公务用车运行维护费开支内容包括车辆加油费、维修费、保险费、审车费、过路费等。公务用车购置数0辆，公务用车保有量2辆。国有资产占用情况中固定资产车辆2辆，与公务用车保有量差异原因是：本单位固定资产车辆与公务用车保有量一致无差异。</w:t>
      </w:r>
    </w:p>
    <w:p w14:paraId="02EF5D16">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BA7A50C">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2.70万元，决算数2.70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2.70万元，决算数2.70万元，预决算差异率0.00%，主要原因是：严格按照预算执行，预决算无差异。公务接待费全年预算数0.00万元，决算数0.00万元，预决算差异率0.00%，主要原因是：本单位无公务接待费。</w:t>
      </w:r>
    </w:p>
    <w:p w14:paraId="65F96A30">
      <w:pPr>
        <w:spacing w:line="640" w:lineRule="exact"/>
        <w:ind w:firstLine="640"/>
        <w:jc w:val="both"/>
        <w:outlineLvl w:val="2"/>
      </w:pPr>
      <w:r>
        <w:rPr>
          <w:rFonts w:ascii="黑体" w:hAnsi="黑体" w:eastAsia="黑体"/>
          <w:sz w:val="32"/>
        </w:rPr>
        <w:t>十、其他重要事项的情况说明</w:t>
      </w:r>
    </w:p>
    <w:p w14:paraId="301A2F5D">
      <w:pPr>
        <w:spacing w:line="640" w:lineRule="exact"/>
        <w:ind w:firstLine="640"/>
        <w:jc w:val="both"/>
        <w:outlineLvl w:val="3"/>
      </w:pPr>
      <w:r>
        <w:rPr>
          <w:rFonts w:ascii="楷体_GB2312" w:hAnsi="楷体_GB2312" w:eastAsia="楷体_GB2312"/>
          <w:b/>
          <w:sz w:val="32"/>
        </w:rPr>
        <w:t>（一）机关运行经费及公用经费支出情况</w:t>
      </w:r>
    </w:p>
    <w:p w14:paraId="3F7A105E">
      <w:pPr>
        <w:spacing w:line="580" w:lineRule="exact"/>
        <w:ind w:firstLine="640"/>
        <w:jc w:val="both"/>
      </w:pPr>
      <w:r>
        <w:rPr>
          <w:rFonts w:ascii="仿宋_GB2312" w:hAnsi="仿宋_GB2312" w:eastAsia="仿宋_GB2312"/>
          <w:b w:val="0"/>
          <w:sz w:val="32"/>
        </w:rPr>
        <w:t>2024年度岳普湖泰岳工业园区管理委员会（事业单位）公用经费支出14.43万元，比上年增加5.72万元，增长65.67%，主要原因是：本年办公费、公务用车运行费等支出增加，相应支出增加。</w:t>
      </w:r>
    </w:p>
    <w:p w14:paraId="41DBD246">
      <w:pPr>
        <w:spacing w:line="640" w:lineRule="exact"/>
        <w:ind w:firstLine="640"/>
        <w:jc w:val="both"/>
        <w:outlineLvl w:val="3"/>
      </w:pPr>
      <w:r>
        <w:rPr>
          <w:rFonts w:ascii="楷体_GB2312" w:hAnsi="楷体_GB2312" w:eastAsia="楷体_GB2312"/>
          <w:b/>
          <w:sz w:val="32"/>
        </w:rPr>
        <w:t>（二）政府采购情况</w:t>
      </w:r>
    </w:p>
    <w:p w14:paraId="283F2B7F">
      <w:pPr>
        <w:spacing w:line="580" w:lineRule="exact"/>
        <w:ind w:firstLine="640"/>
        <w:jc w:val="both"/>
      </w:pPr>
      <w:r>
        <w:rPr>
          <w:rFonts w:ascii="仿宋_GB2312" w:hAnsi="仿宋_GB2312" w:eastAsia="仿宋_GB2312"/>
          <w:b w:val="0"/>
          <w:sz w:val="32"/>
        </w:rPr>
        <w:t>2024年度政府采购支出总额99.58万元，其中：政府采购货物支出0.00万元、政府采购工程支出0.00万元、政府采购服务支出99.58万元。</w:t>
      </w:r>
    </w:p>
    <w:p w14:paraId="4750EEA7">
      <w:pPr>
        <w:spacing w:line="580" w:lineRule="exact"/>
        <w:ind w:firstLine="640"/>
        <w:jc w:val="both"/>
      </w:pPr>
      <w:r>
        <w:rPr>
          <w:rFonts w:ascii="仿宋_GB2312" w:hAnsi="仿宋_GB2312" w:eastAsia="仿宋_GB2312"/>
          <w:b w:val="0"/>
          <w:sz w:val="32"/>
        </w:rPr>
        <w:t>授予中小企业合同金额99.58万元，占政府采购支出总额的100.00%，其中：授予小微企业合同金额99.58万元，占政府采购支出总额的100.00%。</w:t>
      </w:r>
    </w:p>
    <w:p w14:paraId="09DA5D92">
      <w:pPr>
        <w:spacing w:line="640" w:lineRule="exact"/>
        <w:ind w:firstLine="640"/>
        <w:jc w:val="both"/>
        <w:outlineLvl w:val="3"/>
      </w:pPr>
      <w:r>
        <w:rPr>
          <w:rFonts w:ascii="楷体_GB2312" w:hAnsi="楷体_GB2312" w:eastAsia="楷体_GB2312"/>
          <w:b/>
          <w:sz w:val="32"/>
        </w:rPr>
        <w:t>（三）国有资产占用情况说明</w:t>
      </w:r>
    </w:p>
    <w:p w14:paraId="38751740">
      <w:pPr>
        <w:spacing w:line="580" w:lineRule="exact"/>
        <w:ind w:firstLine="640"/>
        <w:jc w:val="both"/>
      </w:pPr>
      <w:r>
        <w:rPr>
          <w:rFonts w:ascii="仿宋_GB2312" w:hAnsi="仿宋_GB2312" w:eastAsia="仿宋_GB2312"/>
          <w:b w:val="0"/>
          <w:sz w:val="32"/>
        </w:rPr>
        <w:t>截至2024年12月31日，房屋232,355.75平方米，价值48,275.26万元。车辆2辆，价值34.48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0台（套）。</w:t>
      </w:r>
    </w:p>
    <w:p w14:paraId="6D479874">
      <w:pPr>
        <w:spacing w:line="640" w:lineRule="exact"/>
        <w:ind w:firstLine="640"/>
        <w:jc w:val="both"/>
        <w:outlineLvl w:val="2"/>
      </w:pPr>
      <w:r>
        <w:rPr>
          <w:rFonts w:ascii="黑体" w:hAnsi="黑体" w:eastAsia="黑体"/>
          <w:sz w:val="32"/>
        </w:rPr>
        <w:t>十一、预算绩效的情况说明</w:t>
      </w:r>
    </w:p>
    <w:p w14:paraId="7AD1C0DB">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10,809.96万元，实际执行总额10,809.96万元；预算绩效评价项目1个，全年预算数1,644.80万元，全年执行数1,644.80万元。预算绩效管理取得的成效：预算绩效管理制度建设不断完善。围绕建立“全方位、全过程、全覆盖”的预算绩效管理体系目标，强化制度设计，建立健全制度办法和工作机制，涵盖了事前绩效评估、绩效目标管理、绩效运行监控、绩效评价及结果应用等各环节，为推动预算绩效管理工作奠定了坚实的制度基础。发现的问题及原因：一是过于重视项目短期行为，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三是缺少带着问题去评价的意识，后续效益评价具体措施和方法不足。下一步改进措施：一是加大绩效工作宣传力度，强化绩效理念；二是完善绩效指标，依据对部门工作任务的分解形成工作活动层面的绩效目标，提高整体绩效目标质量。提升预算精细化管理水平；三是继续完善预算绩效管理相关工作制度，建立全过程预算绩效管理链条，有效贯彻落实全面实施绩效管理的精神。具</w:t>
      </w:r>
      <w:bookmarkStart w:id="0" w:name="_GoBack"/>
      <w:r>
        <w:rPr>
          <w:rFonts w:ascii="仿宋_GB2312" w:hAnsi="仿宋_GB2312" w:eastAsia="仿宋_GB2312"/>
          <w:b w:val="0"/>
          <w:sz w:val="32"/>
        </w:rPr>
        <w:t>体附整体支出绩效自评表，项目支出绩效自评表和评价报告。</w:t>
      </w:r>
    </w:p>
    <w:bookmarkEnd w:id="0"/>
    <w:p w14:paraId="66475321">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907F72C">
        <w:tblPrEx>
          <w:tblCellMar>
            <w:top w:w="0" w:type="dxa"/>
            <w:left w:w="108" w:type="dxa"/>
            <w:bottom w:w="0" w:type="dxa"/>
            <w:right w:w="108" w:type="dxa"/>
          </w:tblCellMar>
        </w:tblPrEx>
        <w:tc>
          <w:tcPr>
            <w:tcW w:w="8847" w:type="dxa"/>
            <w:gridSpan w:val="9"/>
            <w:vAlign w:val="center"/>
          </w:tcPr>
          <w:p w14:paraId="3B0036CC">
            <w:pPr>
              <w:jc w:val="center"/>
            </w:pPr>
            <w:r>
              <w:rPr>
                <w:rFonts w:ascii="宋体" w:hAnsi="宋体" w:eastAsia="宋体"/>
                <w:sz w:val="24"/>
              </w:rPr>
              <w:t>单位整体支出绩效自评表</w:t>
            </w:r>
          </w:p>
        </w:tc>
      </w:tr>
      <w:tr w14:paraId="42023951">
        <w:tblPrEx>
          <w:tblCellMar>
            <w:top w:w="0" w:type="dxa"/>
            <w:left w:w="108" w:type="dxa"/>
            <w:bottom w:w="0" w:type="dxa"/>
            <w:right w:w="108" w:type="dxa"/>
          </w:tblCellMar>
        </w:tblPrEx>
        <w:tc>
          <w:tcPr>
            <w:tcW w:w="8847" w:type="dxa"/>
            <w:gridSpan w:val="9"/>
            <w:vAlign w:val="center"/>
          </w:tcPr>
          <w:p w14:paraId="032638D0">
            <w:pPr>
              <w:jc w:val="center"/>
            </w:pPr>
            <w:r>
              <w:rPr>
                <w:rFonts w:ascii="宋体" w:hAnsi="宋体" w:eastAsia="宋体"/>
                <w:sz w:val="24"/>
              </w:rPr>
              <w:t>（2024年度）</w:t>
            </w:r>
          </w:p>
        </w:tc>
      </w:tr>
      <w:tr w14:paraId="5866E24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8F8782">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2E3C17E">
            <w:pPr>
              <w:jc w:val="center"/>
            </w:pPr>
            <w:r>
              <w:rPr>
                <w:rFonts w:ascii="宋体" w:hAnsi="宋体" w:eastAsia="宋体"/>
                <w:sz w:val="16"/>
              </w:rPr>
              <w:t>岳普湖泰岳工业园区管理委员会</w:t>
            </w:r>
          </w:p>
        </w:tc>
      </w:tr>
      <w:tr w14:paraId="5CBC3E4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89F14C">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A501B9">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0805D6">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D8FE18">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6B6D5E">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740938">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6453B0">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7DC13">
            <w:pPr>
              <w:jc w:val="center"/>
            </w:pPr>
            <w:r>
              <w:rPr>
                <w:rFonts w:ascii="宋体" w:hAnsi="宋体" w:eastAsia="宋体"/>
                <w:sz w:val="16"/>
              </w:rPr>
              <w:t>得分</w:t>
            </w:r>
          </w:p>
        </w:tc>
      </w:tr>
      <w:tr w14:paraId="68E4D99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A6AA1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412B20">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D8A3C0">
            <w:pPr>
              <w:jc w:val="center"/>
            </w:pPr>
            <w:r>
              <w:rPr>
                <w:rFonts w:ascii="宋体" w:hAnsi="宋体" w:eastAsia="宋体"/>
                <w:sz w:val="16"/>
              </w:rPr>
              <w:t>2,107.75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CAEDA5">
            <w:pPr>
              <w:jc w:val="center"/>
            </w:pPr>
            <w:r>
              <w:rPr>
                <w:rFonts w:ascii="宋体" w:hAnsi="宋体" w:eastAsia="宋体"/>
                <w:sz w:val="16"/>
              </w:rPr>
              <w:t>10,809.96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CFB520">
            <w:pPr>
              <w:jc w:val="center"/>
            </w:pPr>
            <w:r>
              <w:rPr>
                <w:rFonts w:ascii="宋体" w:hAnsi="宋体" w:eastAsia="宋体"/>
                <w:sz w:val="16"/>
              </w:rPr>
              <w:t>10,809.96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9F071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211B35">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6BF31">
            <w:pPr>
              <w:jc w:val="center"/>
            </w:pPr>
            <w:r>
              <w:rPr>
                <w:rFonts w:ascii="宋体" w:hAnsi="宋体" w:eastAsia="宋体"/>
                <w:sz w:val="16"/>
              </w:rPr>
              <w:t>10</w:t>
            </w:r>
          </w:p>
        </w:tc>
      </w:tr>
      <w:tr w14:paraId="1DEFAE2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B497E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DFC42F">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31FC8C">
            <w:pPr>
              <w:jc w:val="center"/>
            </w:pPr>
            <w:r>
              <w:rPr>
                <w:rFonts w:ascii="宋体" w:hAnsi="宋体" w:eastAsia="宋体"/>
                <w:sz w:val="16"/>
              </w:rPr>
              <w:t>1,620.00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BB949C">
            <w:pPr>
              <w:jc w:val="center"/>
            </w:pPr>
            <w:r>
              <w:rPr>
                <w:rFonts w:ascii="宋体" w:hAnsi="宋体" w:eastAsia="宋体"/>
                <w:sz w:val="16"/>
              </w:rPr>
              <w:t>1,522.02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7C5F32">
            <w:pPr>
              <w:jc w:val="center"/>
            </w:pPr>
            <w:r>
              <w:rPr>
                <w:rFonts w:ascii="宋体" w:hAnsi="宋体" w:eastAsia="宋体"/>
                <w:sz w:val="16"/>
              </w:rPr>
              <w:t>1,522.02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17617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86B758">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FB088">
            <w:pPr>
              <w:jc w:val="center"/>
            </w:pPr>
            <w:r>
              <w:rPr>
                <w:rFonts w:ascii="宋体" w:hAnsi="宋体" w:eastAsia="宋体"/>
                <w:sz w:val="16"/>
              </w:rPr>
              <w:t>—</w:t>
            </w:r>
          </w:p>
        </w:tc>
      </w:tr>
      <w:tr w14:paraId="46D758A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50E60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D0D461">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E956A8">
            <w:pPr>
              <w:jc w:val="center"/>
            </w:pPr>
            <w:r>
              <w:rPr>
                <w:rFonts w:ascii="宋体" w:hAnsi="宋体" w:eastAsia="宋体"/>
                <w:sz w:val="16"/>
              </w:rPr>
              <w:t>487.75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B98D6F">
            <w:pPr>
              <w:jc w:val="center"/>
            </w:pPr>
            <w:r>
              <w:rPr>
                <w:rFonts w:ascii="宋体" w:hAnsi="宋体" w:eastAsia="宋体"/>
                <w:sz w:val="16"/>
              </w:rPr>
              <w:t>7,400.96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7113C1">
            <w:pPr>
              <w:jc w:val="center"/>
            </w:pPr>
            <w:r>
              <w:rPr>
                <w:rFonts w:ascii="宋体" w:hAnsi="宋体" w:eastAsia="宋体"/>
                <w:sz w:val="16"/>
              </w:rPr>
              <w:t>7,400.96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CD15E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7DB863">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694EC0">
            <w:pPr>
              <w:jc w:val="center"/>
            </w:pPr>
            <w:r>
              <w:rPr>
                <w:rFonts w:ascii="宋体" w:hAnsi="宋体" w:eastAsia="宋体"/>
                <w:sz w:val="16"/>
              </w:rPr>
              <w:t>—</w:t>
            </w:r>
          </w:p>
        </w:tc>
      </w:tr>
      <w:tr w14:paraId="7842229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2BFD5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17E7CB">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87C6E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ECD363">
            <w:pPr>
              <w:jc w:val="center"/>
            </w:pPr>
            <w:r>
              <w:rPr>
                <w:rFonts w:ascii="宋体" w:hAnsi="宋体" w:eastAsia="宋体"/>
                <w:sz w:val="16"/>
              </w:rPr>
              <w:t>1,886.98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FA1591">
            <w:pPr>
              <w:jc w:val="center"/>
            </w:pPr>
            <w:r>
              <w:rPr>
                <w:rFonts w:ascii="宋体" w:hAnsi="宋体" w:eastAsia="宋体"/>
                <w:sz w:val="16"/>
              </w:rPr>
              <w:t>1,886.98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37D47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02AFC0">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AAB6E5">
            <w:pPr>
              <w:jc w:val="center"/>
            </w:pPr>
            <w:r>
              <w:rPr>
                <w:rFonts w:ascii="宋体" w:hAnsi="宋体" w:eastAsia="宋体"/>
                <w:sz w:val="16"/>
              </w:rPr>
              <w:t>—</w:t>
            </w:r>
          </w:p>
        </w:tc>
      </w:tr>
      <w:tr w14:paraId="6798385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20F11E">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60090A6">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90F9C31">
            <w:pPr>
              <w:jc w:val="center"/>
            </w:pPr>
            <w:r>
              <w:rPr>
                <w:rFonts w:ascii="宋体" w:hAnsi="宋体" w:eastAsia="宋体"/>
                <w:sz w:val="16"/>
              </w:rPr>
              <w:t>实际完成情况</w:t>
            </w:r>
          </w:p>
        </w:tc>
      </w:tr>
      <w:tr w14:paraId="1FD620C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2B6FF7"/>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79B3DAD">
            <w:pPr>
              <w:jc w:val="both"/>
            </w:pPr>
            <w:r>
              <w:rPr>
                <w:rFonts w:ascii="宋体" w:hAnsi="宋体" w:eastAsia="宋体"/>
                <w:sz w:val="16"/>
              </w:rPr>
              <w:t>保障园区招</w:t>
            </w:r>
            <w:r>
              <w:rPr>
                <w:rFonts w:hint="eastAsia" w:ascii="宋体" w:hAnsi="宋体"/>
                <w:sz w:val="16"/>
                <w:lang w:eastAsia="zh-CN"/>
              </w:rPr>
              <w:t>商引资</w:t>
            </w:r>
            <w:r>
              <w:rPr>
                <w:rFonts w:ascii="宋体" w:hAnsi="宋体" w:eastAsia="宋体"/>
                <w:sz w:val="16"/>
              </w:rPr>
              <w:t>工作的完成。形成“一区四园”格局。累计入住落户企业124家。升规入统3家企业。加强园区“三有”非公企业党组织建设。优化招商工作机制和园区功能，及时解决企业的诉求，推进全县区域经济高质量、快速发展。</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2E671CF">
            <w:pPr>
              <w:jc w:val="both"/>
            </w:pPr>
            <w:r>
              <w:rPr>
                <w:rFonts w:ascii="宋体" w:hAnsi="宋体" w:eastAsia="宋体"/>
                <w:sz w:val="16"/>
              </w:rPr>
              <w:t>截至目前，园区已吸引124家企业入驻，并成功助力3家企业升规入统。保障了园区招</w:t>
            </w:r>
            <w:r>
              <w:rPr>
                <w:rFonts w:hint="eastAsia" w:ascii="宋体" w:hAnsi="宋体"/>
                <w:sz w:val="16"/>
                <w:lang w:eastAsia="zh-CN"/>
              </w:rPr>
              <w:t>商引资</w:t>
            </w:r>
            <w:r>
              <w:rPr>
                <w:rFonts w:ascii="宋体" w:hAnsi="宋体" w:eastAsia="宋体"/>
                <w:sz w:val="16"/>
              </w:rPr>
              <w:t>任务的顺利完成，并形成了“一区四园”的发展格局。园区积极发挥职能作用，强化了“三有”非公企业党组织的建设。同时，优化了招</w:t>
            </w:r>
            <w:r>
              <w:rPr>
                <w:rFonts w:hint="eastAsia" w:ascii="宋体" w:hAnsi="宋体"/>
                <w:sz w:val="16"/>
                <w:lang w:eastAsia="zh-CN"/>
              </w:rPr>
              <w:t>商引资</w:t>
            </w:r>
            <w:r>
              <w:rPr>
                <w:rFonts w:ascii="宋体" w:hAnsi="宋体" w:eastAsia="宋体"/>
                <w:sz w:val="16"/>
              </w:rPr>
              <w:t>的工作机制和园区功能，及时响应并解决企业的各项需求，推动全县区域经济的高质量和快速发展。此外，园区加大对基础设施的投资，提升综合承载能力，确保入驻企业能够迅速启动生产和运营。</w:t>
            </w:r>
          </w:p>
        </w:tc>
      </w:tr>
      <w:tr w14:paraId="203A846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DFCB3B">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711F5A">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001702">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BDD9F6">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AC850D">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B85991">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AE3107">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C77EB1">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4A1E6C">
            <w:pPr>
              <w:jc w:val="center"/>
            </w:pPr>
            <w:r>
              <w:rPr>
                <w:rFonts w:ascii="宋体" w:hAnsi="宋体" w:eastAsia="宋体"/>
                <w:sz w:val="16"/>
              </w:rPr>
              <w:t>得分</w:t>
            </w:r>
          </w:p>
        </w:tc>
      </w:tr>
      <w:tr w14:paraId="09BBBDC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C78C23">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A632F7">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4851E2">
            <w:pPr>
              <w:jc w:val="center"/>
            </w:pPr>
            <w:r>
              <w:rPr>
                <w:rFonts w:ascii="宋体" w:hAnsi="宋体" w:eastAsia="宋体"/>
                <w:sz w:val="16"/>
              </w:rPr>
              <w:t>园区落地企业</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2B9347">
            <w:pPr>
              <w:jc w:val="center"/>
            </w:pPr>
            <w:r>
              <w:rPr>
                <w:rFonts w:ascii="宋体" w:hAnsi="宋体" w:eastAsia="宋体"/>
                <w:sz w:val="16"/>
              </w:rPr>
              <w:t>&gt;=124家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2E375E">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D9FE61">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78442D">
            <w:pPr>
              <w:jc w:val="center"/>
            </w:pPr>
            <w:r>
              <w:rPr>
                <w:rFonts w:ascii="宋体" w:hAnsi="宋体" w:eastAsia="宋体"/>
                <w:sz w:val="16"/>
              </w:rPr>
              <w:t>124家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F3F20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2BF630">
            <w:pPr>
              <w:jc w:val="center"/>
            </w:pPr>
            <w:r>
              <w:rPr>
                <w:rFonts w:ascii="宋体" w:hAnsi="宋体" w:eastAsia="宋体"/>
                <w:sz w:val="16"/>
              </w:rPr>
              <w:t>18</w:t>
            </w:r>
          </w:p>
        </w:tc>
      </w:tr>
      <w:tr w14:paraId="0D8B7A1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F5C8D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BD415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31E840">
            <w:pPr>
              <w:jc w:val="center"/>
            </w:pPr>
            <w:r>
              <w:rPr>
                <w:rFonts w:ascii="宋体" w:hAnsi="宋体" w:eastAsia="宋体"/>
                <w:sz w:val="16"/>
              </w:rPr>
              <w:t>升规入统企业数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86A7C0">
            <w:pPr>
              <w:jc w:val="center"/>
            </w:pPr>
            <w:r>
              <w:rPr>
                <w:rFonts w:ascii="宋体" w:hAnsi="宋体" w:eastAsia="宋体"/>
                <w:sz w:val="16"/>
              </w:rPr>
              <w:t>&gt;=3家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E675C5">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2698DA">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E7497A">
            <w:pPr>
              <w:jc w:val="center"/>
            </w:pPr>
            <w:r>
              <w:rPr>
                <w:rFonts w:ascii="宋体" w:hAnsi="宋体" w:eastAsia="宋体"/>
                <w:sz w:val="16"/>
              </w:rPr>
              <w:t>3家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32CB0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B8671A">
            <w:pPr>
              <w:jc w:val="center"/>
            </w:pPr>
            <w:r>
              <w:rPr>
                <w:rFonts w:ascii="宋体" w:hAnsi="宋体" w:eastAsia="宋体"/>
                <w:sz w:val="16"/>
              </w:rPr>
              <w:t>18</w:t>
            </w:r>
          </w:p>
        </w:tc>
      </w:tr>
      <w:tr w14:paraId="6E32D7D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7301EF"/>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886BE7">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684BE4">
            <w:pPr>
              <w:jc w:val="center"/>
            </w:pPr>
            <w:r>
              <w:rPr>
                <w:rFonts w:ascii="宋体" w:hAnsi="宋体" w:eastAsia="宋体"/>
                <w:sz w:val="16"/>
              </w:rPr>
              <w:t>非公企业党组织建设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48B92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DA1BB2">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7258A8">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2EBBF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0B2F1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1F501F">
            <w:pPr>
              <w:jc w:val="center"/>
            </w:pPr>
            <w:r>
              <w:rPr>
                <w:rFonts w:ascii="宋体" w:hAnsi="宋体" w:eastAsia="宋体"/>
                <w:sz w:val="16"/>
              </w:rPr>
              <w:t>18</w:t>
            </w:r>
          </w:p>
        </w:tc>
      </w:tr>
      <w:tr w14:paraId="6184BFB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301D2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69D55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072C9A">
            <w:pPr>
              <w:jc w:val="center"/>
            </w:pPr>
            <w:r>
              <w:rPr>
                <w:rFonts w:ascii="宋体" w:hAnsi="宋体" w:eastAsia="宋体"/>
                <w:sz w:val="16"/>
              </w:rPr>
              <w:t>优化营商环境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0AC53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705755">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A5E853">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26F08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CA199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C59C9E">
            <w:pPr>
              <w:jc w:val="center"/>
            </w:pPr>
            <w:r>
              <w:rPr>
                <w:rFonts w:ascii="宋体" w:hAnsi="宋体" w:eastAsia="宋体"/>
                <w:sz w:val="16"/>
              </w:rPr>
              <w:t>18</w:t>
            </w:r>
          </w:p>
        </w:tc>
      </w:tr>
      <w:tr w14:paraId="5006A87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482DC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57C53F">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8701F6">
            <w:pPr>
              <w:jc w:val="center"/>
            </w:pPr>
            <w:r>
              <w:rPr>
                <w:rFonts w:ascii="宋体" w:hAnsi="宋体" w:eastAsia="宋体"/>
                <w:sz w:val="16"/>
              </w:rPr>
              <w:t>企业诉求响应及时率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8471A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9B9146">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7E7A36">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E20DF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15C25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90AEE4">
            <w:pPr>
              <w:jc w:val="center"/>
            </w:pPr>
            <w:r>
              <w:rPr>
                <w:rFonts w:ascii="宋体" w:hAnsi="宋体" w:eastAsia="宋体"/>
                <w:sz w:val="16"/>
              </w:rPr>
              <w:t>18</w:t>
            </w:r>
          </w:p>
        </w:tc>
      </w:tr>
    </w:tbl>
    <w:p w14:paraId="702DB73A">
      <w:r>
        <w:br w:type="page"/>
      </w:r>
    </w:p>
    <w:tbl>
      <w:tblPr>
        <w:tblStyle w:val="9"/>
        <w:tblW w:w="0" w:type="auto"/>
        <w:tblInd w:w="0" w:type="dxa"/>
        <w:tblLayout w:type="autofit"/>
        <w:tblCellMar>
          <w:top w:w="0" w:type="dxa"/>
          <w:left w:w="108" w:type="dxa"/>
          <w:bottom w:w="0" w:type="dxa"/>
          <w:right w:w="108" w:type="dxa"/>
        </w:tblCellMar>
      </w:tblPr>
      <w:tblGrid>
        <w:gridCol w:w="625"/>
        <w:gridCol w:w="615"/>
        <w:gridCol w:w="616"/>
        <w:gridCol w:w="616"/>
        <w:gridCol w:w="856"/>
        <w:gridCol w:w="620"/>
        <w:gridCol w:w="618"/>
        <w:gridCol w:w="622"/>
        <w:gridCol w:w="616"/>
        <w:gridCol w:w="616"/>
        <w:gridCol w:w="776"/>
        <w:gridCol w:w="632"/>
        <w:gridCol w:w="601"/>
        <w:gridCol w:w="631"/>
      </w:tblGrid>
      <w:tr w14:paraId="4435E749">
        <w:tc>
          <w:tcPr>
            <w:tcW w:w="8848" w:type="dxa"/>
            <w:gridSpan w:val="14"/>
            <w:vAlign w:val="center"/>
          </w:tcPr>
          <w:p w14:paraId="36F8AEE0">
            <w:pPr>
              <w:jc w:val="center"/>
            </w:pPr>
            <w:r>
              <w:rPr>
                <w:rFonts w:ascii="宋体" w:hAnsi="宋体" w:eastAsia="宋体"/>
                <w:sz w:val="24"/>
              </w:rPr>
              <w:t>项目支出绩效自评表</w:t>
            </w:r>
          </w:p>
        </w:tc>
      </w:tr>
      <w:tr w14:paraId="0965268C">
        <w:tblPrEx>
          <w:tblCellMar>
            <w:top w:w="0" w:type="dxa"/>
            <w:left w:w="108" w:type="dxa"/>
            <w:bottom w:w="0" w:type="dxa"/>
            <w:right w:w="108" w:type="dxa"/>
          </w:tblCellMar>
        </w:tblPrEx>
        <w:tc>
          <w:tcPr>
            <w:tcW w:w="8848" w:type="dxa"/>
            <w:gridSpan w:val="14"/>
            <w:vAlign w:val="center"/>
          </w:tcPr>
          <w:p w14:paraId="6E47D7A8">
            <w:pPr>
              <w:jc w:val="center"/>
            </w:pPr>
            <w:r>
              <w:rPr>
                <w:rFonts w:ascii="宋体" w:hAnsi="宋体" w:eastAsia="宋体"/>
                <w:sz w:val="24"/>
              </w:rPr>
              <w:t>(2024年度)</w:t>
            </w:r>
          </w:p>
        </w:tc>
      </w:tr>
      <w:tr w14:paraId="6A75032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F052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078EF5D">
            <w:pPr>
              <w:jc w:val="center"/>
            </w:pPr>
            <w:r>
              <w:rPr>
                <w:rFonts w:ascii="宋体" w:hAnsi="宋体" w:eastAsia="宋体"/>
                <w:sz w:val="16"/>
              </w:rPr>
              <w:t>偿还欠款项目</w:t>
            </w:r>
          </w:p>
        </w:tc>
      </w:tr>
      <w:tr w14:paraId="0A90E41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7CD3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75F0C3">
            <w:pPr>
              <w:jc w:val="center"/>
            </w:pPr>
            <w:r>
              <w:rPr>
                <w:rFonts w:ascii="宋体" w:hAnsi="宋体" w:eastAsia="宋体"/>
                <w:sz w:val="16"/>
              </w:rPr>
              <w:t>岳普湖县泰岳工业园区管理委员会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723B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98ED3B3">
            <w:pPr>
              <w:jc w:val="center"/>
            </w:pPr>
            <w:r>
              <w:rPr>
                <w:rFonts w:ascii="宋体" w:hAnsi="宋体" w:eastAsia="宋体"/>
                <w:sz w:val="16"/>
              </w:rPr>
              <w:t>岳普湖泰岳工业园区管理委员会</w:t>
            </w:r>
          </w:p>
        </w:tc>
      </w:tr>
      <w:tr w14:paraId="0DCD6D0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6C9ED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CC5F7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8A20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9CC73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84881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6B28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E8B59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88C26">
            <w:pPr>
              <w:jc w:val="center"/>
            </w:pPr>
            <w:r>
              <w:rPr>
                <w:rFonts w:ascii="宋体" w:hAnsi="宋体" w:eastAsia="宋体"/>
                <w:sz w:val="16"/>
              </w:rPr>
              <w:t>得分</w:t>
            </w:r>
          </w:p>
        </w:tc>
      </w:tr>
      <w:tr w14:paraId="57CEB9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E2C19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6AD1C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4E329">
            <w:pPr>
              <w:jc w:val="center"/>
            </w:pPr>
            <w:r>
              <w:rPr>
                <w:rFonts w:ascii="宋体" w:hAnsi="宋体" w:eastAsia="宋体"/>
                <w:sz w:val="16"/>
              </w:rPr>
              <w:t>1,550.00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A457E">
            <w:pPr>
              <w:jc w:val="center"/>
            </w:pPr>
            <w:r>
              <w:rPr>
                <w:rFonts w:ascii="宋体" w:hAnsi="宋体" w:eastAsia="宋体"/>
                <w:sz w:val="16"/>
              </w:rPr>
              <w:t>1,644.80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38B5BE">
            <w:pPr>
              <w:jc w:val="center"/>
            </w:pPr>
            <w:r>
              <w:rPr>
                <w:rFonts w:ascii="宋体" w:hAnsi="宋体" w:eastAsia="宋体"/>
                <w:sz w:val="16"/>
              </w:rPr>
              <w:t>1,644.80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AE672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B02C9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9AEB3">
            <w:pPr>
              <w:jc w:val="center"/>
            </w:pPr>
            <w:r>
              <w:rPr>
                <w:rFonts w:ascii="宋体" w:hAnsi="宋体" w:eastAsia="宋体"/>
                <w:sz w:val="16"/>
              </w:rPr>
              <w:t>10.00分</w:t>
            </w:r>
          </w:p>
        </w:tc>
      </w:tr>
      <w:tr w14:paraId="10ACC3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1CEFA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23377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0137BE">
            <w:pPr>
              <w:jc w:val="center"/>
            </w:pPr>
            <w:r>
              <w:rPr>
                <w:rFonts w:ascii="宋体" w:hAnsi="宋体" w:eastAsia="宋体"/>
                <w:sz w:val="16"/>
              </w:rPr>
              <w:t>1,550.00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CFC08">
            <w:pPr>
              <w:jc w:val="center"/>
            </w:pPr>
            <w:r>
              <w:rPr>
                <w:rFonts w:ascii="宋体" w:hAnsi="宋体" w:eastAsia="宋体"/>
                <w:sz w:val="16"/>
              </w:rPr>
              <w:t>1,625.02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FE100">
            <w:pPr>
              <w:jc w:val="center"/>
            </w:pPr>
            <w:r>
              <w:rPr>
                <w:rFonts w:ascii="宋体" w:hAnsi="宋体" w:eastAsia="宋体"/>
                <w:sz w:val="16"/>
              </w:rPr>
              <w:t>1,625.02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F65E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BA2CC0">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1ADED">
            <w:pPr>
              <w:jc w:val="center"/>
            </w:pPr>
            <w:r>
              <w:rPr>
                <w:rFonts w:ascii="宋体" w:hAnsi="宋体" w:eastAsia="宋体"/>
                <w:sz w:val="16"/>
              </w:rPr>
              <w:t>—</w:t>
            </w:r>
          </w:p>
        </w:tc>
      </w:tr>
      <w:tr w14:paraId="1FD758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5333A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66FE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3F2B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82CC5">
            <w:pPr>
              <w:jc w:val="center"/>
            </w:pPr>
            <w:r>
              <w:rPr>
                <w:rFonts w:ascii="宋体" w:hAnsi="宋体" w:eastAsia="宋体"/>
                <w:sz w:val="16"/>
              </w:rPr>
              <w:t>19.78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A85F7">
            <w:pPr>
              <w:jc w:val="center"/>
            </w:pPr>
            <w:r>
              <w:rPr>
                <w:rFonts w:ascii="宋体" w:hAnsi="宋体" w:eastAsia="宋体"/>
                <w:sz w:val="16"/>
              </w:rPr>
              <w:t>19.78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B44DB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93296F">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C2DE2">
            <w:pPr>
              <w:jc w:val="center"/>
            </w:pPr>
            <w:r>
              <w:rPr>
                <w:rFonts w:ascii="宋体" w:hAnsi="宋体" w:eastAsia="宋体"/>
                <w:sz w:val="16"/>
              </w:rPr>
              <w:t>—</w:t>
            </w:r>
          </w:p>
        </w:tc>
      </w:tr>
      <w:tr w14:paraId="418F138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69E6F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EE1AF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8E7E47">
            <w:pPr>
              <w:jc w:val="center"/>
            </w:pPr>
            <w:r>
              <w:rPr>
                <w:rFonts w:ascii="宋体" w:hAnsi="宋体" w:eastAsia="宋体"/>
                <w:sz w:val="16"/>
              </w:rPr>
              <w:t>实际完成情况</w:t>
            </w:r>
          </w:p>
        </w:tc>
      </w:tr>
      <w:tr w14:paraId="5F7826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8308D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76B175">
            <w:pPr>
              <w:jc w:val="both"/>
            </w:pPr>
            <w:r>
              <w:rPr>
                <w:rFonts w:ascii="宋体" w:hAnsi="宋体" w:eastAsia="宋体"/>
                <w:sz w:val="16"/>
              </w:rPr>
              <w:t>项目主要用于支付6个项目的前期欠款，确保项目款项按期及时支付，提高政府部门的履约和服务能力，增强政府公信力。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8A6522">
            <w:pPr>
              <w:jc w:val="both"/>
            </w:pPr>
            <w:r>
              <w:rPr>
                <w:rFonts w:ascii="宋体" w:hAnsi="宋体" w:eastAsia="宋体"/>
                <w:sz w:val="16"/>
              </w:rPr>
              <w:t>现阶段已完成6个项目的前期欠款，已确保项目款项按期及时支付，预算执行率为100%。项目的实施提高政府部门的履约和服务能力，增强政府公信力。</w:t>
            </w:r>
          </w:p>
        </w:tc>
      </w:tr>
      <w:tr w14:paraId="6CC7943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0C510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F44F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1537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4505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54BA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B919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F18A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FE44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7368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66B2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C175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8195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356F7">
            <w:pPr>
              <w:jc w:val="center"/>
            </w:pPr>
            <w:r>
              <w:rPr>
                <w:rFonts w:ascii="宋体" w:hAnsi="宋体" w:eastAsia="宋体"/>
                <w:sz w:val="16"/>
              </w:rPr>
              <w:t>偏差原因分析及改进措施</w:t>
            </w:r>
          </w:p>
        </w:tc>
      </w:tr>
      <w:tr w14:paraId="7DDFBE2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51218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6A851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2454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9598C">
            <w:pPr>
              <w:jc w:val="center"/>
            </w:pPr>
            <w:r>
              <w:rPr>
                <w:rFonts w:ascii="宋体" w:hAnsi="宋体" w:eastAsia="宋体"/>
                <w:sz w:val="16"/>
              </w:rPr>
              <w:t>偿还欠款项目个数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2627E">
            <w:pPr>
              <w:jc w:val="center"/>
            </w:pPr>
            <w:r>
              <w:rPr>
                <w:rFonts w:ascii="宋体" w:hAnsi="宋体" w:eastAsia="宋体"/>
                <w:sz w:val="16"/>
              </w:rPr>
              <w:t>&gt;=6个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009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FFD7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1289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65B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BFAA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72E65">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00FC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964A2">
            <w:pPr>
              <w:jc w:val="center"/>
            </w:pPr>
          </w:p>
        </w:tc>
      </w:tr>
      <w:tr w14:paraId="4C1922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0B7D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AA1F8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F5975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5386F">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EA4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7D1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1704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5EA8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B86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B353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98C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1C43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2E8ACF">
            <w:pPr>
              <w:jc w:val="center"/>
            </w:pPr>
          </w:p>
        </w:tc>
      </w:tr>
      <w:tr w14:paraId="69A035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9C4A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4B6B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62CC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EED32">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064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431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D096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329C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359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6432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0D8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AF77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62B93">
            <w:pPr>
              <w:jc w:val="center"/>
            </w:pPr>
          </w:p>
        </w:tc>
      </w:tr>
      <w:tr w14:paraId="35F774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E66E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50294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8B5BD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E24D1">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035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D22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6120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C3BC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1EA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EFF2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23E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AB24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7EB448">
            <w:pPr>
              <w:jc w:val="center"/>
            </w:pPr>
          </w:p>
        </w:tc>
      </w:tr>
      <w:tr w14:paraId="54C03C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7457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F85E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02CC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6AA50">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1564A">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FB6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F146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2EB9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2EAC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6206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FC20C">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5784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FF047E">
            <w:pPr>
              <w:jc w:val="center"/>
            </w:pPr>
          </w:p>
        </w:tc>
      </w:tr>
      <w:tr w14:paraId="612E60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CAFF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A87A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A0D2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13D56">
            <w:pPr>
              <w:jc w:val="center"/>
            </w:pPr>
            <w:r>
              <w:rPr>
                <w:rFonts w:ascii="宋体" w:hAnsi="宋体" w:eastAsia="宋体"/>
                <w:sz w:val="16"/>
              </w:rPr>
              <w:t>欠款项目预算控制数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D7375">
            <w:pPr>
              <w:jc w:val="center"/>
            </w:pPr>
            <w:r>
              <w:rPr>
                <w:rFonts w:ascii="宋体" w:hAnsi="宋体" w:eastAsia="宋体"/>
                <w:sz w:val="16"/>
              </w:rPr>
              <w:t>&lt;=274.13万元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7368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A70A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22D4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DAA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252A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DC520">
            <w:pPr>
              <w:jc w:val="center"/>
            </w:pPr>
            <w:r>
              <w:rPr>
                <w:rFonts w:ascii="宋体" w:hAnsi="宋体" w:eastAsia="宋体"/>
                <w:sz w:val="16"/>
              </w:rPr>
              <w:t>=274.13万元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B03D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573858">
            <w:pPr>
              <w:jc w:val="center"/>
            </w:pPr>
          </w:p>
        </w:tc>
      </w:tr>
      <w:tr w14:paraId="4ADC32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DF44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648F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86F0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1C791">
            <w:pPr>
              <w:jc w:val="center"/>
            </w:pPr>
            <w:r>
              <w:rPr>
                <w:rFonts w:ascii="宋体" w:hAnsi="宋体" w:eastAsia="宋体"/>
                <w:sz w:val="16"/>
              </w:rPr>
              <w:t>提高政府部门的履约和服务能力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5ABC9">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8A5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5B2E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E8E46">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3130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E2B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0D679">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7781B">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3C7FE">
            <w:pPr>
              <w:jc w:val="center"/>
            </w:pPr>
          </w:p>
        </w:tc>
      </w:tr>
      <w:tr w14:paraId="0C01822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5CDA7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17FD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15175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1BAD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FE2DF6C"/>
        </w:tc>
      </w:tr>
    </w:tbl>
    <w:p w14:paraId="0A6C35B1">
      <w:r>
        <w:br w:type="page"/>
      </w:r>
    </w:p>
    <w:p w14:paraId="11515F5C">
      <w:pPr>
        <w:spacing w:line="640" w:lineRule="exact"/>
        <w:ind w:firstLine="640"/>
        <w:jc w:val="both"/>
        <w:outlineLvl w:val="2"/>
      </w:pPr>
      <w:r>
        <w:rPr>
          <w:rFonts w:ascii="黑体" w:hAnsi="黑体" w:eastAsia="黑体"/>
          <w:sz w:val="32"/>
        </w:rPr>
        <w:t>十二、其他需说明的事项</w:t>
      </w:r>
    </w:p>
    <w:p w14:paraId="740B3482">
      <w:pPr>
        <w:spacing w:line="580" w:lineRule="exact"/>
        <w:ind w:firstLine="640"/>
        <w:jc w:val="both"/>
      </w:pPr>
      <w:r>
        <w:rPr>
          <w:rFonts w:ascii="仿宋_GB2312" w:hAnsi="仿宋_GB2312" w:eastAsia="仿宋_GB2312"/>
          <w:b w:val="0"/>
          <w:sz w:val="32"/>
        </w:rPr>
        <w:t>本单位无其他需说明的事项。</w:t>
      </w:r>
    </w:p>
    <w:p w14:paraId="0672A6F9">
      <w:r>
        <w:br w:type="page"/>
      </w:r>
    </w:p>
    <w:p w14:paraId="0F27E65F">
      <w:pPr>
        <w:spacing w:line="240" w:lineRule="auto"/>
        <w:jc w:val="center"/>
        <w:outlineLvl w:val="1"/>
      </w:pPr>
      <w:r>
        <w:rPr>
          <w:rFonts w:ascii="黑体" w:hAnsi="黑体" w:eastAsia="黑体"/>
          <w:sz w:val="32"/>
        </w:rPr>
        <w:t>第三部分 专业名词解释</w:t>
      </w:r>
    </w:p>
    <w:p w14:paraId="693CF5A0">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76DFFD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5C4247A">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D450EE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C67342B">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17D3E1D">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A98021B">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BDE1564">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C43CAEC">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398F212">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00C406D">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C348DB7">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8F42A43">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1FD2E1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CBFACC9">
      <w:r>
        <w:br w:type="page"/>
      </w:r>
    </w:p>
    <w:p w14:paraId="4AB605F1">
      <w:pPr>
        <w:spacing w:line="240" w:lineRule="auto"/>
        <w:jc w:val="center"/>
        <w:outlineLvl w:val="1"/>
      </w:pPr>
      <w:r>
        <w:rPr>
          <w:rFonts w:ascii="黑体" w:hAnsi="黑体" w:eastAsia="黑体"/>
          <w:sz w:val="32"/>
        </w:rPr>
        <w:t>第四部分 部门决算报表（见附表）</w:t>
      </w:r>
    </w:p>
    <w:p w14:paraId="46CC544F">
      <w:pPr>
        <w:spacing w:line="240" w:lineRule="auto"/>
        <w:ind w:firstLine="640"/>
        <w:jc w:val="both"/>
      </w:pPr>
      <w:r>
        <w:rPr>
          <w:rFonts w:ascii="仿宋_GB2312" w:hAnsi="仿宋_GB2312" w:eastAsia="仿宋_GB2312"/>
          <w:b w:val="0"/>
          <w:sz w:val="32"/>
        </w:rPr>
        <w:t>一、《收入支出决算总表》</w:t>
      </w:r>
    </w:p>
    <w:p w14:paraId="5A6E1391">
      <w:pPr>
        <w:spacing w:line="240" w:lineRule="auto"/>
        <w:ind w:firstLine="640"/>
        <w:jc w:val="both"/>
      </w:pPr>
      <w:r>
        <w:rPr>
          <w:rFonts w:ascii="仿宋_GB2312" w:hAnsi="仿宋_GB2312" w:eastAsia="仿宋_GB2312"/>
          <w:b w:val="0"/>
          <w:sz w:val="32"/>
        </w:rPr>
        <w:t>二、《收入决算表》</w:t>
      </w:r>
    </w:p>
    <w:p w14:paraId="29E63E8D">
      <w:pPr>
        <w:spacing w:line="240" w:lineRule="auto"/>
        <w:ind w:firstLine="640"/>
        <w:jc w:val="both"/>
      </w:pPr>
      <w:r>
        <w:rPr>
          <w:rFonts w:ascii="仿宋_GB2312" w:hAnsi="仿宋_GB2312" w:eastAsia="仿宋_GB2312"/>
          <w:b w:val="0"/>
          <w:sz w:val="32"/>
        </w:rPr>
        <w:t>三、《支出决算表》</w:t>
      </w:r>
    </w:p>
    <w:p w14:paraId="73CA1815">
      <w:pPr>
        <w:spacing w:line="240" w:lineRule="auto"/>
        <w:ind w:firstLine="640"/>
        <w:jc w:val="both"/>
      </w:pPr>
      <w:r>
        <w:rPr>
          <w:rFonts w:ascii="仿宋_GB2312" w:hAnsi="仿宋_GB2312" w:eastAsia="仿宋_GB2312"/>
          <w:b w:val="0"/>
          <w:sz w:val="32"/>
        </w:rPr>
        <w:t>四、《财政拨款收入支出决算总表》</w:t>
      </w:r>
    </w:p>
    <w:p w14:paraId="1618AC04">
      <w:pPr>
        <w:spacing w:line="240" w:lineRule="auto"/>
        <w:ind w:firstLine="640"/>
        <w:jc w:val="both"/>
      </w:pPr>
      <w:r>
        <w:rPr>
          <w:rFonts w:ascii="仿宋_GB2312" w:hAnsi="仿宋_GB2312" w:eastAsia="仿宋_GB2312"/>
          <w:b w:val="0"/>
          <w:sz w:val="32"/>
        </w:rPr>
        <w:t>五、《一般公共预算财政拨款支出决算表》</w:t>
      </w:r>
    </w:p>
    <w:p w14:paraId="35D261E3">
      <w:pPr>
        <w:spacing w:line="240" w:lineRule="auto"/>
        <w:ind w:firstLine="640"/>
        <w:jc w:val="both"/>
      </w:pPr>
      <w:r>
        <w:rPr>
          <w:rFonts w:ascii="仿宋_GB2312" w:hAnsi="仿宋_GB2312" w:eastAsia="仿宋_GB2312"/>
          <w:b w:val="0"/>
          <w:sz w:val="32"/>
        </w:rPr>
        <w:t>六、《一般公共预算财政拨款基本支出决算表》</w:t>
      </w:r>
    </w:p>
    <w:p w14:paraId="6A028923">
      <w:pPr>
        <w:spacing w:line="240" w:lineRule="auto"/>
        <w:ind w:firstLine="640"/>
        <w:jc w:val="both"/>
      </w:pPr>
      <w:r>
        <w:rPr>
          <w:rFonts w:ascii="仿宋_GB2312" w:hAnsi="仿宋_GB2312" w:eastAsia="仿宋_GB2312"/>
          <w:b w:val="0"/>
          <w:sz w:val="32"/>
        </w:rPr>
        <w:t>七、《政府性基金预算财政拨款收入支出决算表》</w:t>
      </w:r>
    </w:p>
    <w:p w14:paraId="654CB3EF">
      <w:pPr>
        <w:spacing w:line="240" w:lineRule="auto"/>
        <w:ind w:firstLine="640"/>
        <w:jc w:val="both"/>
      </w:pPr>
      <w:r>
        <w:rPr>
          <w:rFonts w:ascii="仿宋_GB2312" w:hAnsi="仿宋_GB2312" w:eastAsia="仿宋_GB2312"/>
          <w:b w:val="0"/>
          <w:sz w:val="32"/>
        </w:rPr>
        <w:t>八、《国有资本经营预算财政拨款收入支出决算表》</w:t>
      </w:r>
    </w:p>
    <w:p w14:paraId="088435E1">
      <w:pPr>
        <w:spacing w:line="240" w:lineRule="auto"/>
        <w:ind w:firstLine="640"/>
        <w:jc w:val="both"/>
      </w:pPr>
      <w:r>
        <w:rPr>
          <w:rFonts w:ascii="仿宋_GB2312" w:hAnsi="仿宋_GB2312" w:eastAsia="仿宋_GB2312"/>
          <w:b w:val="0"/>
          <w:sz w:val="32"/>
        </w:rPr>
        <w:t>九、《财政拨款“三公”经费支出决算表》</w:t>
      </w:r>
    </w:p>
    <w:p w14:paraId="54EFC0BB">
      <w:pPr>
        <w:spacing w:line="240" w:lineRule="auto"/>
        <w:ind w:firstLine="640"/>
        <w:jc w:val="both"/>
      </w:pPr>
    </w:p>
    <w:p w14:paraId="5D8CAB46">
      <w:pPr>
        <w:spacing w:line="240" w:lineRule="auto"/>
        <w:ind w:firstLine="640"/>
        <w:jc w:val="both"/>
      </w:pPr>
    </w:p>
    <w:p w14:paraId="6D60214C">
      <w:pPr>
        <w:spacing w:line="240" w:lineRule="auto"/>
        <w:ind w:firstLine="640"/>
        <w:jc w:val="both"/>
      </w:pPr>
    </w:p>
    <w:p w14:paraId="11EE4F6D">
      <w:pPr>
        <w:spacing w:line="240" w:lineRule="auto"/>
        <w:ind w:firstLine="640"/>
        <w:jc w:val="both"/>
      </w:pPr>
    </w:p>
    <w:p w14:paraId="7DFAB977">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5A9C6B0-0363-46FE-ADE0-D052941A7D0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BB6369C0-1091-44CE-BF2D-7F400D00A7A7}"/>
  </w:font>
  <w:font w:name="仿宋_GB2312">
    <w:panose1 w:val="02010609030101010101"/>
    <w:charset w:val="86"/>
    <w:family w:val="modern"/>
    <w:pitch w:val="default"/>
    <w:sig w:usb0="00000001" w:usb1="080E0000" w:usb2="00000000" w:usb3="00000000" w:csb0="00040000" w:csb1="00000000"/>
    <w:embedRegular r:id="rId3" w:fontKey="{C67AED6D-2CFB-4872-8636-073ED98A142B}"/>
  </w:font>
  <w:font w:name="楷体_GB2312">
    <w:panose1 w:val="02010609030101010101"/>
    <w:charset w:val="86"/>
    <w:family w:val="auto"/>
    <w:pitch w:val="default"/>
    <w:sig w:usb0="00000001" w:usb1="080E0000" w:usb2="00000000" w:usb3="00000000" w:csb0="00040000" w:csb1="00000000"/>
    <w:embedRegular r:id="rId4" w:fontKey="{8BFB1803-AE77-40B5-B5FC-AA1CB778E42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0801598"/>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DF91F3F"/>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6317</Words>
  <Characters>7344</Characters>
  <Lines>0</Lines>
  <Paragraphs>0</Paragraphs>
  <TotalTime>18</TotalTime>
  <ScaleCrop>false</ScaleCrop>
  <LinksUpToDate>false</LinksUpToDate>
  <CharactersWithSpaces>7352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2025-09-12T10:01:19Z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