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both"/>
        <w:rPr>
          <w:rFonts w:ascii="华文中宋" w:eastAsia="华文中宋" w:hAnsi="华文中宋" w:cs="宋体"/>
          <w:b/>
          <w:kern w:val="0"/>
          <w:sz w:val="52"/>
          <w:szCs w:val="52"/>
        </w:rPr>
      </w:pPr>
    </w:p>
    <w:p>
      <w:pPr>
        <w:spacing w:line="570" w:lineRule="exact"/>
        <w:jc w:val="center"/>
        <w:rPr>
          <w:rFonts w:ascii="华文中宋" w:eastAsia="华文中宋" w:hAnsi="华文中宋" w:cs="宋体"/>
          <w:b/>
          <w:kern w:val="0"/>
          <w:sz w:val="52"/>
          <w:szCs w:val="52"/>
        </w:rPr>
      </w:pPr>
    </w:p>
    <w:p>
      <w:pPr>
        <w:spacing w:line="570" w:lineRule="exact"/>
        <w:jc w:val="center"/>
        <w:rPr>
          <w:rFonts w:ascii="方正小标宋_GBK" w:eastAsia="方正小标宋_GBK" w:hAnsi="华文中宋" w:cs="宋体"/>
          <w:b/>
          <w:kern w:val="0"/>
          <w:sz w:val="44"/>
          <w:szCs w:val="44"/>
        </w:rPr>
      </w:pPr>
      <w:r>
        <w:rPr>
          <w:rFonts w:ascii="方正小标宋_GBK" w:eastAsia="方正小标宋_GBK" w:hAnsi="华文中宋" w:cs="宋体" w:hint="eastAsia"/>
          <w:b/>
          <w:kern w:val="0"/>
          <w:sz w:val="44"/>
          <w:szCs w:val="44"/>
        </w:rPr>
        <w:t xml:space="preserve"> 部门单位项目支出绩效评价报告</w:t>
      </w:r>
    </w:p>
    <w:p>
      <w:pPr>
        <w:spacing w:line="570" w:lineRule="exact"/>
        <w:jc w:val="center"/>
        <w:rPr>
          <w:rFonts w:ascii="华文中宋" w:eastAsia="华文中宋" w:hAnsi="华文中宋" w:cs="宋体"/>
          <w:b/>
          <w:kern w:val="0"/>
          <w:sz w:val="52"/>
          <w:szCs w:val="52"/>
        </w:rPr>
      </w:pPr>
    </w:p>
    <w:p>
      <w:pPr>
        <w:spacing w:line="57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仿宋_GB2312" w:eastAsia="仿宋_GB2312" w:hAnsi="楷体" w:hint="eastAsia"/>
          <w:spacing w:val="-4"/>
          <w:sz w:val="32"/>
          <w:szCs w:val="32"/>
        </w:rPr>
        <w:t xml:space="preserve">2024</w:t>
      </w:r>
      <w:r>
        <w:rPr>
          <w:rFonts w:ascii="方正仿宋_GBK" w:eastAsia="方正仿宋_GBK" w:hAnsi="宋体" w:cs="宋体" w:hint="eastAsia"/>
          <w:kern w:val="0"/>
          <w:sz w:val="36"/>
          <w:szCs w:val="36"/>
        </w:rPr>
        <w:t xml:space="preserve"> </w:t>
      </w:r>
      <w:r>
        <w:rPr>
          <w:rFonts w:eastAsia="仿宋_GB2312" w:hAnsi="宋体" w:cs="宋体" w:hint="eastAsia"/>
          <w:kern w:val="0"/>
          <w:sz w:val="36"/>
          <w:szCs w:val="36"/>
        </w:rPr>
        <w:t xml:space="preserve"> 年度）</w:t>
      </w: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570" w:lineRule="exact"/>
        <w:jc w:val="center"/>
        <w:rPr>
          <w:rFonts w:eastAsia="仿宋_GB2312" w:hAnsi="宋体" w:cs="宋体"/>
          <w:kern w:val="0"/>
          <w:sz w:val="30"/>
          <w:szCs w:val="30"/>
        </w:rPr>
      </w:pPr>
    </w:p>
    <w:p>
      <w:pPr>
        <w:spacing w:line="70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项目名称：</w:t>
      </w:r>
      <w:r>
        <w:rPr>
          <w:rStyle w:val="Strong"/>
          <w:rFonts w:ascii="仿宋" w:eastAsia="仿宋" w:hAnsi="仿宋" w:cs="仿宋" w:hint="eastAsia"/>
          <w:b w:val="0"/>
          <w:bCs w:val="0"/>
          <w:spacing w:val="-4"/>
          <w:sz w:val="32"/>
          <w:szCs w:val="32"/>
        </w:rPr>
        <w:t xml:space="preserve">也克先拜巴扎镇偿还以前年度欠款项目</w:t>
      </w:r>
    </w:p>
    <w:p>
      <w:pPr>
        <w:spacing w:line="570" w:lineRule="exact"/>
        <w:ind w:firstLine="360" w:firstLineChars="100"/>
        <w:jc w:val="left"/>
        <w:rPr>
          <w:rFonts w:ascii="仿宋" w:eastAsia="仿宋" w:hAnsi="仿宋" w:cs="仿宋"/>
          <w:kern w:val="0"/>
          <w:sz w:val="32"/>
          <w:szCs w:val="32"/>
        </w:rPr>
      </w:pPr>
      <w:r>
        <w:rPr>
          <w:rFonts w:ascii="仿宋" w:eastAsia="仿宋" w:hAnsi="仿宋" w:cs="仿宋" w:hint="eastAsia"/>
          <w:kern w:val="0"/>
          <w:sz w:val="36"/>
          <w:szCs w:val="36"/>
        </w:rPr>
        <w:t xml:space="preserve">实施单位（公章）：</w:t>
      </w:r>
      <w:r>
        <w:rPr>
          <w:rStyle w:val="Strong"/>
          <w:rFonts w:ascii="仿宋" w:eastAsia="仿宋" w:hAnsi="仿宋" w:cs="仿宋" w:hint="eastAsia"/>
          <w:b w:val="0"/>
          <w:bCs w:val="0"/>
          <w:spacing w:val="-4"/>
          <w:sz w:val="32"/>
          <w:szCs w:val="32"/>
        </w:rPr>
        <w:t xml:space="preserve">岳普湖县也克先拜巴扎镇人民政府</w:t>
      </w:r>
    </w:p>
    <w:p>
      <w:pPr>
        <w:spacing w:line="540" w:lineRule="exact"/>
        <w:ind w:firstLine="360" w:firstLineChars="100"/>
        <w:rPr>
          <w:rFonts w:ascii="仿宋" w:eastAsia="仿宋" w:hAnsi="仿宋" w:cs="仿宋" w:hint="eastAsia"/>
          <w:spacing w:val="-4"/>
          <w:sz w:val="32"/>
          <w:szCs w:val="32"/>
        </w:rPr>
      </w:pPr>
      <w:r>
        <w:rPr>
          <w:rFonts w:ascii="仿宋" w:eastAsia="仿宋" w:hAnsi="仿宋" w:cs="仿宋" w:hint="eastAsia"/>
          <w:kern w:val="0"/>
          <w:sz w:val="36"/>
          <w:szCs w:val="36"/>
        </w:rPr>
        <w:t xml:space="preserve">主管部门（公章）：</w:t>
      </w:r>
      <w:r>
        <w:rPr>
          <w:rStyle w:val="Strong"/>
          <w:rFonts w:ascii="仿宋" w:eastAsia="仿宋" w:hAnsi="仿宋" w:cs="仿宋" w:hint="eastAsia"/>
          <w:b w:val="0"/>
          <w:bCs w:val="0"/>
          <w:spacing w:val="-4"/>
          <w:sz w:val="32"/>
          <w:szCs w:val="32"/>
        </w:rPr>
        <w:t xml:space="preserve">岳普湖县也克先拜巴扎镇人民政府</w:t>
      </w:r>
    </w:p>
    <w:p>
      <w:pPr>
        <w:spacing w:line="570" w:lineRule="exact"/>
        <w:ind w:firstLine="360" w:firstLineChars="100"/>
        <w:rPr>
          <w:rFonts w:ascii="仿宋" w:eastAsia="仿宋" w:hAnsi="仿宋" w:cs="仿宋"/>
          <w:spacing w:val="-4"/>
          <w:sz w:val="32"/>
          <w:szCs w:val="32"/>
        </w:rPr>
      </w:pPr>
      <w:r>
        <w:rPr>
          <w:rFonts w:ascii="仿宋" w:eastAsia="仿宋" w:hAnsi="仿宋" w:cs="仿宋" w:hint="eastAsia"/>
          <w:kern w:val="0"/>
          <w:sz w:val="36"/>
          <w:szCs w:val="36"/>
        </w:rPr>
        <w:t xml:space="preserve">项目负责人（签章）：</w:t>
      </w:r>
      <w:r>
        <w:rPr>
          <w:rStyle w:val="Strong"/>
          <w:rFonts w:ascii="仿宋" w:eastAsia="仿宋" w:hAnsi="仿宋" w:cs="仿宋" w:hint="eastAsia"/>
          <w:b w:val="0"/>
          <w:bCs w:val="0"/>
          <w:spacing w:val="-4"/>
          <w:sz w:val="32"/>
          <w:szCs w:val="32"/>
        </w:rPr>
        <w:t xml:space="preserve">张永雷</w:t>
      </w:r>
    </w:p>
    <w:p>
      <w:pPr>
        <w:spacing w:line="540" w:lineRule="exact"/>
        <w:ind w:firstLine="360" w:firstLineChars="100"/>
        <w:rPr>
          <w:rStyle w:val="Strong"/>
          <w:rFonts w:ascii="仿宋" w:eastAsia="仿宋" w:hAnsi="仿宋" w:cs="仿宋" w:hint="eastAsia"/>
          <w:b w:val="0"/>
          <w:bCs w:val="0"/>
          <w:spacing w:val="-4"/>
          <w:sz w:val="32"/>
          <w:szCs w:val="32"/>
        </w:rPr>
      </w:pPr>
      <w:r>
        <w:rPr>
          <w:rFonts w:ascii="仿宋" w:eastAsia="仿宋" w:hAnsi="仿宋" w:cs="仿宋" w:hint="eastAsia"/>
          <w:kern w:val="0"/>
          <w:sz w:val="36"/>
          <w:szCs w:val="36"/>
        </w:rPr>
        <w:t xml:space="preserve">填报时间：</w:t>
      </w:r>
      <w:r>
        <w:rPr>
          <w:rStyle w:val="Strong"/>
          <w:rFonts w:ascii="仿宋" w:eastAsia="仿宋" w:hAnsi="仿宋" w:cs="仿宋" w:hint="eastAsia"/>
          <w:b w:val="0"/>
          <w:bCs w:val="0"/>
          <w:spacing w:val="-4"/>
          <w:sz w:val="32"/>
          <w:szCs w:val="32"/>
        </w:rPr>
        <w:t xml:space="preserve">2025年03月31日</w:t>
      </w:r>
    </w:p>
    <w:p>
      <w:pPr>
        <w:rPr>
          <w:rStyle w:val="Strong"/>
          <w:rFonts w:ascii="仿宋" w:eastAsia="仿宋" w:hAnsi="仿宋" w:cs="仿宋" w:hint="eastAsia"/>
          <w:b w:val="0"/>
          <w:bCs w:val="0"/>
          <w:spacing w:val="-4"/>
          <w:sz w:val="32"/>
          <w:szCs w:val="32"/>
        </w:rPr>
      </w:pPr>
      <w:r>
        <w:br w:type="page"/>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一、基本情况</w:t>
      </w:r>
    </w:p>
    <w:p>
      <w:pPr>
        <w:spacing w:line="570" w:lineRule="exact"/>
        <w:ind w:firstLine="640" w:firstLineChars="200"/>
        <w:rPr>
          <w:rStyle w:val="Strong"/>
          <w:rFonts w:ascii="方正楷体_GBK" w:eastAsia="方正楷体_GBK" w:hAnsi="方正楷体_GBK" w:cs="方正楷体_GBK"/>
          <w:bCs w:val="0"/>
          <w:spacing w:val="-4"/>
          <w:sz w:val="32"/>
          <w:szCs w:val="32"/>
        </w:rPr>
      </w:pPr>
      <w:r>
        <w:rPr>
          <w:rStyle w:val="Strong"/>
          <w:rFonts w:ascii="楷体" w:eastAsia="楷体" w:hAnsi="楷体" w:cs="楷体" w:hint="eastAsia"/>
          <w:bCs w:val="0"/>
          <w:spacing w:val="-4"/>
          <w:sz w:val="32"/>
          <w:szCs w:val="32"/>
        </w:rPr>
        <w:t xml:space="preserve">（一）项目概况。包括项目背景、主要内容及实施情况、资金投入和使用情况等。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1.项目背景</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与规定，旨在评价本项目实施的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济金融风险点多面广，隐蔽性、突发性、传染性、危害性强，是诱发政治安全和社会稳定问题的突出风险源。防范化解财政金融风险，事关国家安全、发展安全、人民群众财产安全。切实防范和化解政府债务风险，有利于从严控制政府债务增量，积极化解存量，将债务风险牢牢地控制在警戒线内，促进风险有序释放，营造良好的财政金融生态。防范和化解政府债务风险，有利于及时纠正靠举债甚至不规范举债维系发展的惯性思维，正确处理好谋发展、保稳定与防风险的关系；有利于更好发挥财政资源配置、经济稳定、收入分配的基本功能，推动全县经济结构转型升级，社会事业全面进步，确保全县发展改革发展始终在安全稳定的环境下推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新疆维吾尔自治区致力于规范政府债务管理，防范化解债务风险，同时大力优化营商环境，推动地方经济高质量发展。《新疆维吾尔自治区营商环境优化提升三年行动方案》着重强调要加强政府诚信建设，解决政府部门及所属机构拖欠市场主体账款问题，营造公平竞争、诚实守信的市场环境。岳普湖县积极落实政策要求，深知清偿欠款对于维护地方经济秩序、促进社会和谐稳定的关键作用。地方政府在推动各类项目建设过程中，由于历史原因、资金周转困难等因素，积累了部分应付未付的欠款。这些欠款涉及众多供应商、承包商等市场主体，长期未清偿不仅影响了相关企业的正常运营，也对地方政府的公信力造成了一定损害。岳普湖县贯彻落实各级政府关于清偿欠款的政策要求，维护市场主体合法权益，提升政府公信力，优化本地营商环境，积极开展清偿欠款项目，支付以前年度各个项目应付未付的欠款，为推动地方经济社会持续健康发展贡献力量。综上所述，体现项目立项的重要性和必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2.主要内容及实施情况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（1）主要内容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岳普湖县为防范化解地方政府隐性债务风险。把防范化解地方政府隐性债务风险作为重要的政治纪律和政治规矩，坚决遏制隐性债务增量，妥善处置和化解隐性债务存量。健全市场化、法治化的债务违约处置机制，鼓励债务人、债权人协商处置存量债务，切实防范恶意逃废债，保护债权人合法权益，坚决防止风险累积形成系统性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根据岳普湖县也克先拜巴扎镇实际情况，为响应国家政策，为防范化解地方政府隐性债务风险。对2017年村级项目恰克勒克村道路工程剩余工程欠款完成本年度支付任务。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2017年村级项目恰克勒克村道路工程部分已全部完工，并完成验收，剩余工程款29.995万元未支付。由于各种原因，截止2024年底未支付剩余工程款，也克先拜巴扎镇党委、政府与中标单位协商，再支付25万元，此项目工程款算全部结清。为避免越级、群体上访的可能，提高政府部门的履约和服务能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中盐新疆维吾尔自治区盐业有限公司捐赠收入用于也克先拜巴扎镇辉煌（5）村和也克先拜巴扎镇莫尕勒艾日克（8）村帮扶工作用于基础设施建设和人居环境改善等，主要用于5村智能锅炉购置和8村树苗采购，本年度支付剩余项目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（2）实施情况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前由项目负责人张永雷进行牵头，首先进行项目的前期调研。评估项目实施的相关性、预期绩效的可实现性、实施方案的有效性、财政资金投入可行性风险。其次在项目实施过程中结合本县的实际要求，严格按照相关文件的规定开展，在项目实施过程中不定期进行监督检查，发现问题及时整改。最后项目结束时实施单位及时进行成果验收，做好项目的后期管护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3.项目实施主体</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项目实施主体：岳普湖县也克先拜巴扎镇人民政府。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项目实施时间：2024年1月-12月。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基本情况：该项目实施主体单位为岳普湖县也克先巴扎镇人民政府，岳普湖县也克先拜巴扎镇党委、政府设下列内设机构：党政办公室、党建办公室、经济发展办公室、社会事务办公室、综合执法办公室。岳普湖县也克先拜巴扎镇所属事业单位机构编制事项：农业(畜牧业)发展服务中心、文体广电旅游服务中心、社会保障(民政)服务中心(退役军人服务站)、农村合作经济(统计)发展中心(财政所)、村镇规划建设发展中心(生态环境工作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单位主要职能是：认真贯彻执行党的路线、方针、政策，全面加强党的领导，巩固基层政权，把握农村改革发展稳定大局，充分发挥统揽全局的领导核心作用。完善党政组织功能，强化干部的监督、教育和管理，建立廉洁高效、运转协调、行为规范、适应社会主义市场经济和社会发展需要的管理体制。加强党的基层组织和农村基层政权建设。加强农村社会主义民主政治和法治建设，依法行政，坚持完善人民代表大会制度。贯彻落实中央、自治区关于实施乡村振兴战略的决策部署，提升农业发展质量，加快现代农业强镇步伐；推进乡村绿色发展，打造生态宜居美丽乡村；深化农村精神文明建设，树立健康文明新风尚；构建乡村治理体系，提升农村社会治理水平；落实强农惠农措施，培育主导产业和市场体系，抓好招</w:t>
      </w:r>
      <w:r>
        <w:rPr>
          <w:rStyle w:val="Strong"/>
          <w:rFonts w:ascii="仿宋" w:eastAsia="仿宋" w:hAnsi="仿宋" w:cs="仿宋" w:hint="eastAsia"/>
          <w:b w:val="0"/>
          <w:bCs w:val="0"/>
          <w:spacing w:val="-4"/>
          <w:sz w:val="32"/>
          <w:szCs w:val="32"/>
        </w:rPr>
        <w:t xml:space="preserve">招商引资</w:t>
      </w:r>
      <w:r>
        <w:rPr>
          <w:rStyle w:val="Strong"/>
          <w:rFonts w:ascii="仿宋" w:eastAsia="仿宋" w:hAnsi="仿宋" w:cs="仿宋" w:hint="eastAsia"/>
          <w:b w:val="0"/>
          <w:bCs w:val="0"/>
          <w:spacing w:val="-4"/>
          <w:sz w:val="32"/>
          <w:szCs w:val="32"/>
        </w:rPr>
        <w:t xml:space="preserve">，促进经济发展和乡村振兴。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实施主体编制情况：岳普湖县也克先拜巴扎镇人民政府年末编制内实有人员人数113人，其中：公务员57人，参照公务员法管理人员16人，事业管理人员和专业技术人员40人。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4.资金投入情况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（1）项目资金安排落实情况分析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根据《岳普湖县财经领导小组会议纪要》、《项目资金申请报告》等文件，年初预算数25.00万元，全年预算数为34.07万元，其中：财政资金25.00万元，其他资金9.07万元。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（2）项目资金总投入情况分析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截止2024年12月31日，实际到位项目资金34.07万元，预算资金到位率为100%。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5.资金使用情况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截止2024年12月31日，本项目实际支付资金34.07万元，预算执行率100%。项目资金主要用于偿还以前年度工程欠款和剩余项目尾款。</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（二）项目绩效目标。包括总体目标和阶段性目标。</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1.项目总体目标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岳普湖县也克先拜巴扎镇实际情况，为响应国家政策，提升社会公众服务能力，提高政府公信力。对2017年村级项目恰克勒克村道路工程剩余工程欠款完成本年度支付任务。对2023年中盐新疆维吾尔自治区盐业有限公司帮扶资金项目，完成剩余项目款支付任务。偿还欠款项目数量2个。通过项目的实施提升政府部门的履约和服务能力，防范和化解地方政府隐性债务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2.项目阶段性目标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前期准备：通过制定项目实施方案，经项目负责人审核通过后，有序开展后续工作。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组织实施：资金一到位，立即根据项目要求实施项目。项目责任人按照项目实施方案要求逐一进行项目部署安排，提高项目质量及效率性。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项目投入：本项目预算安排总额为34.07万元，为县级财力资金和其他资金。</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产出：为响应国家政策，提升社会公众服务能力，提高政府公信力。对2017年村级项目恰克勒克村道路工程剩余工程欠款完成本年度支付任务。对2023年中盐新疆维吾尔自治区盐业有限公司帮扶资金项目，完成剩余项目款支付任务。偿还欠款项目数量2个。</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项目效果：通过项目的实施提升政府部门的履约和服务能力，防范和化解地方政府隐性债务风险。</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二、绩效评价工作开展情况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（一）绩效评价目的、对象</w:t>
      </w:r>
      <w:r>
        <w:rPr>
          <w:rStyle w:val="Strong"/>
          <w:rFonts w:ascii="楷体" w:eastAsia="楷体" w:hAnsi="楷体" w:cs="楷体" w:hint="eastAsia"/>
          <w:bCs w:val="0"/>
          <w:spacing w:val="-4"/>
          <w:sz w:val="32"/>
          <w:szCs w:val="32"/>
          <w:lang w:eastAsia="zh-CN"/>
        </w:rPr>
        <w:t xml:space="preserve">、时间和</w:t>
      </w:r>
      <w:r>
        <w:rPr>
          <w:rStyle w:val="Strong"/>
          <w:rFonts w:ascii="楷体" w:eastAsia="楷体" w:hAnsi="楷体" w:cs="楷体" w:hint="eastAsia"/>
          <w:bCs w:val="0"/>
          <w:spacing w:val="-4"/>
          <w:sz w:val="32"/>
          <w:szCs w:val="32"/>
        </w:rPr>
        <w:t xml:space="preserve">范围。</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完整性主要体现在绩效评价过程的全面性和系统性。涵盖了对项目全过程的完整生命周期的评价，确保评价行为持续性，有利于不同阶段的项目评价信息相互支撑和验证。保证评价结论的科学性和权威性。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项目绩效评价过程中，应全面考虑项目的各个方面，包括项目的目标设定、实施过程、资源利用、风险控制、产出效果等。此外，完整性要求评价充分考虑项目效益的发挥贡献。</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为了实现项目绩效评价的完整性，建立一套科学、合理、系统的评价指标体系。评价体系能够全面反映项目的特点和要求，确保评价的准确性和有效性。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2.绩效评价目的</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对“也克先拜巴扎镇偿还以前年度欠款项目”开展本次部门项目支出绩效评价工作旨在评价财政项目的实施前期、过程及效果，评价财政预算资金使用的效率及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的目的是发现预算资金在项目立项、执行管理中制度保障、实际操作方面的缺陷和薄弱环节，同时总结提炼项目和部门的经验做法，为预算部门改进、完善项目管理和预算管理提供可行性参考建议。也为下一年预算编制与项目评审提供充分有效的依据，以达到改进预算管理、优化资源配置、提高预算资金使用效益的目的。具体绩效评价的目的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是通过部门项目支出绩效评价，进一步严格落实《中华人民共和国预算法》（2018年修正）以及党中央、国务院关于加强预算绩效管理的指示精神，建立健全“花钱必问效、无效必问责”的绩效预算管理机制、提升财政资金的使用效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二是通过部门项目支出绩效评价，进一步做实绩效目标，根据项目绩效目标设立情况，细化形成多维度绩效指标，保证项目绩效指标设置科学、规范、合理、可衡量。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为评价工作提供更深一步的技术支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3.绩效评价对象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财政部《项目支出绩效评价管理办法》（财预〔2020〕10号）、自治区财政厅《自治区财政支出绩效评价管理暂行办法》（新财预〔2018〕189号）、喀什地区财政局《关于进一步加强和规范喀什地区项目支出“全过程”预算绩效管理结果应用的通知》（喀地财绩〔2022〕2号）等相关政策文件的规定，以“也克先拜巴扎镇偿还以前年度欠款项目”支出为对象所对应的预算资金，以本项目实施所带来的产出和效果为主要内容，以促进预算单位完成特定工作任务目标所组织开展的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4.绩效评价时间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本次绩效评价工作开展时间为2025年1月16日至2025年2月28日。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5.绩效评价范围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本次评价范围涵盖项目总体绩效目标、各项绩效指标完成情况以及预算执行情况。对项目预算资金支出的所有内容进行评价。包括项目决策、项目实施和项目成果验收流程等。</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（二）绩效评价原则、评价指标体系（附表说明）、评价方法、评价标准等。</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1.绩效评价原则</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本次绩效评价遵循的原则包括：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（1）科学公正。绩效评价应当运用科学合理的方法，按照规范的程序，对项目绩效进行客观、公正的反映。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（4）公开透明。绩效评价结果应依法依规公开，并自觉接受社会监督。</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2.绩效评价指标体系</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绩效评价指标体系根据《预算绩效评价共性指标体系框架》（财预〔2013〕53号）、《自治区党委 自治区人民政府关于全面实施预算绩效管理的实施意见》（新党发〔2018〕30号）、《关于印发&lt;项目支出绩效评价管理办法&gt;的通知》（财预﹝2020﹞10号）等文件精神，结合专项特点，在与专家组、绩效评价组充分协商的基础上，绩效评价组细化了该项目的绩效评价指标体系。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一级指标为：决策、过程、产出、效益。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二级指标为：项目立项、绩效目标、资金投入、资金管理、组织实施、产出数量、产出质量、产出时效、产出成本、项目效益。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级指标为：立项依据充分性、立项程序规范性、绩效目标合理性、绩效指标明确性、预算编制科学性、资金分配合理性、资金到位率、预算执行率、资金使用合规性、管理制度健全性、制度执行有效性、项目实施管理规范性、偿还欠款项目数量、项目经费保障率、资金使用合规性、资金支付及时性、资金支付完成时间、2017年村级部分预算控制数、2023年盐业有限公司帮扶部分预算控制数、提升政府部门的履约和服务能力，防范和化解地方政府隐性债务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3.绩效评价方法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本次评价采用定量与定性评价相结合的比较法、文献法、公众评判法等方法，总分由各项指标得分汇总形成。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立项依据充分性：比较法、文献法，查找法律法规政策以及规划，对比实际执行内容和政策支持内容是否匹配。</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绩效目标合理性：比较法，对比分析年初编制项目支出绩效目标表与项目内容的相关性、资金的匹配性等。</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绩效指标明确性：比较法，比较分析年初编制项目支出绩效目标表是否符合双七原则，是否可衡量。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预算编制科学性：成本效益分析法，分析在产出一定的情况下，成本取值是否有依据，是否经过询价，是否按照市场最低成本编制。</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资金分配合理性：因素分析法，综合分析资金的分配依据是否充分，分配金额是否与项目实施单位需求金额一致。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资金到位率：比较法，资金到位率预期指标值应为100%，通过实际计算，分析实际完成值和预期指标值之间的差距和原因。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预算执行率：比较法，预算执行率预期指标值应为100%，通过实际计算，分析实际完成值和预期指标值之间的差距和原因。</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制度执行有效性：比较法，结合项目实际实施过程性文件，根据已建设的财务管理制度和项目管理制度综合分析制度执行的有效性。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（4）项目效益方面</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公众评判法、实地勘察法，通过实地勘察、问卷及抽样调查等方式评价本项目实施后社会公众或服务对象对项目实施效果的满意程度。</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比较法：通过整理本项目相关资料和数据，评价数量指标的完成情况；通过分析项目的实施情况与绩效目标实现情况，评价项目实施的效果；通过分析项目资金使用情况及产生的效果，评价预算资金分配的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公众评判法：评价组采用实地访谈、远程访谈相结合方式，对本项目的实施情况进行充分调研，了解掌握资金分配、资金管理、资金使用、制度建设、制度执行情况，进行综合评价。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4.绩效评价标准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计划标准：指以预先制定的目标、计划、预算、定额等作为评价标准。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行业标准：指参照国家公布的行业指标数据制定的评价标准。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历史标准：指参照历史数据制定的评价标准，为体现绩效改进的原则，在可实现的条件下应当确定相对较高的评价标准。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也克先拜巴扎镇偿还以前年度欠款项目”采用的是计划标准，以事先制定的目标、计划、预算、定额等预计数据作为评价财政支出绩效的标准。通过将实际完成值与预定数据进行对比，发现偏差及时通知实施单位进行限期整改并反馈整改情况。</w:t>
      </w:r>
    </w:p>
    <w:p>
      <w:pPr>
        <w:spacing w:line="570" w:lineRule="exact"/>
        <w:ind w:firstLine="640" w:firstLineChars="200"/>
        <w:rPr>
          <w:rStyle w:val="Strong"/>
          <w:rFonts w:ascii="楷体" w:eastAsia="楷体" w:hAnsi="楷体" w:cs="楷体"/>
          <w:bCs w:val="0"/>
          <w:spacing w:val="-4"/>
          <w:sz w:val="32"/>
          <w:szCs w:val="32"/>
        </w:rPr>
      </w:pPr>
      <w:r>
        <w:rPr>
          <w:rStyle w:val="Strong"/>
          <w:rFonts w:ascii="楷体" w:eastAsia="楷体" w:hAnsi="楷体" w:cs="楷体" w:hint="eastAsia"/>
          <w:bCs w:val="0"/>
          <w:spacing w:val="-4"/>
          <w:sz w:val="32"/>
          <w:szCs w:val="32"/>
        </w:rPr>
        <w:t xml:space="preserve">（三）绩效评价工作过程。</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本次评价设计了评价方案、评价指标体系，通过资料分析、调研、访谈调查等方式形成评价结论，在与项目单位沟通后确定评价意见，并出具评价报告。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1.前期准备阶段（2025年1月16日—1月18日）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项目支出绩效评价管理办法》（财预〔2020〕10号）文件精神，认真学习相关要求与规定，成立绩效评价组。绩效评价组开展项目绩效评价工作，首先开展前期调研；其次明确项目绩效目标，设计绩效评价指标体系并确定绩效评价方法；接着确定现场和非现场评价范围，设计资料清单；最后制定评价实施方案并进行论证。</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作为绩效评价工作具体实施机构，绩效评价组成员构成如下：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张永雷任绩效评价组组长，绩效评价工作职责为负责全盘工作，对项目实施情况进行实地调查。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张晓梦、陶善、米日尼沙·库尔班任绩效评价组成员，绩效评价工作职责对项目实施情况进行实地调查，负责资料审核等工作。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2.组织实施阶段（2025年1月19日—2月10日）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组长制定绩效评价工作方案，具体包括项目概况、评价思路、方法手段、组织实施、进度安排等。绩效评价组成员收集项目立项依据、相关会议纪要、实施方案、财政资金分配方案、支付管理情况等相关评价资料并进行梳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3.分析评价阶段（2025年2月11日—2月15日）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绩效评价组根据收集梳理的资料围绕项目立项、资金落实、业务管理、财务管理、项目产出、项目效益等内容，对照已确定的绩效评价指标进行详细全面的分析评价，逐项打分并形成绩效评价最终结果。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4.撰写与提交评价报告阶段（2025年2月16日-2月21日）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绩效评价组根据收集项目评价资料撰写绩效评价报告。按照新疆维吾尔自治区财政绩效管理信息系统绩效评价模块中的统一格式及文本框架撰写绩效评价报告并提交审核。</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5.归集档案阶段（2025年2月22日-2月28日）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建立和落实档案管理制度，由绩效评价组将项目相关资料存档，包括但不限于：评价项目基本情况和相关文件、评价实施方案、项目支付资料等相关档案。</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三、综合评价情况及评价结论</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（一）综合评价情况</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经绩效评价组通过实地调研、综合分析法、问卷调查法等方式，主要采用综合分析法对项目的决策、实施、产出、效益进行综合评价分析。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在项目决策方面：立项符合国家法律法规、国民经济发展规划和相关政策，项目立项依据充分。项目按照规定的程序申请，经过必要的研究、论证和评估，立项程序规范。</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管理方面：本项目预算安排34.07万元，实际支出34.07万元，预算执行率100%。项目资金使用合规，项目财务管理制度健全，财务监控到位，所有资金支付均按照国库集中支付制度严格执行，现有项目管理制度执行情况良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在项目效果方面：项目已完成2017年村级项目恰克勒克村道路工程剩余工程欠款本年度支付任务，已完成2023年中盐新疆维吾尔自治区盐业有限公司帮扶资金项目剩余项目款本年度支付任务。偿还欠款项目数量2个。预算执行率100%。通过项目的实施有效提升政府部门的履约和服务能力，防范和化解地方政府隐性债务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（二）综合评价结论</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运用绩效评价组制定的评价指标体系以及财政部《项目支出绩效评价管理办法》（财预〔2020〕10号）、喀什地区财政局《关于进一步加强和规范喀什地区项目支出“全过程”预算绩效管理结果应用的通知》（喀地财绩〔2022〕2号）等文件的评分标准，通过数据采集、问卷调查及访谈等方式，对本项目进行客观评价，总分一般设置为100分，其中项目决策20分、项目过程15分、项目产出35分、项目效益30分。评价结果分为优、良、中、差四个等级：优（90分（含）—100分）；良（80分（含）—90分）；中（70分（含）—80分）；差（70分以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本项目最终评分结果：总得分为100分，绩效评级为“优”。</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具体得分情况如下:</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1.项目决策指标权重为20分，得分为20分，得分率为100%。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2.项目过程指标权重为15分，得分为15分，得分率为100%。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3.项目产出指标权重为35分，得分为35分，得分率为100%。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4.项目效益指标权重为30分，得分为30分，得分率为100%。具体打分情况详见：附件1综合评分表。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项目绩效评价评分情况表</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指  标 A.项目决策 B.项目过程 C.项目产出 D.项目效益 合  计</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权  重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  分    20.00    15.00    35.00    30.00 100.00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得分率    100.00%    100.00%    100.00%    100.00% 100.00%</w:t>
      </w:r>
    </w:p>
    <w:p>
      <w:pPr>
        <w:spacing w:line="570" w:lineRule="exact"/>
        <w:ind w:firstLine="640" w:firstLineChars="200"/>
        <w:rPr>
          <w:rStyle w:val="Strong"/>
          <w:rFonts w:ascii="黑体" w:eastAsia="黑体" w:hAnsi="黑体" w:cs="黑体"/>
          <w:b w:val="0"/>
          <w:sz w:val="32"/>
          <w:szCs w:val="32"/>
        </w:rPr>
      </w:pPr>
      <w:r>
        <w:rPr>
          <w:rStyle w:val="Strong"/>
          <w:rFonts w:ascii="黑体" w:eastAsia="黑体" w:hAnsi="黑体" w:cs="黑体" w:hint="eastAsia"/>
          <w:b w:val="0"/>
          <w:spacing w:val="-4"/>
          <w:sz w:val="32"/>
          <w:szCs w:val="32"/>
        </w:rPr>
        <w:t xml:space="preserve">四、绩效评价指标分析 </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（一）项目决策情况。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决策类指标包括项目立项、绩效目标和资金投入三方面的内容，由6个三级指标构成，权重分值为20分，实际得分20分，得分率为100%。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1.项目立项</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项目立项指标从立项依据充分性、立项程序规范性2个方面进行评价，权重分值8分，实际得分8分。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（1）立项依据充分性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该项目立项符合国家相关法律法规及发展政策，符合行业规划要求，根据《岳普湖县财经领导小组会议纪要》、《项目资金申请报告》等文件为立项依据，结合单位的管理职责和履职效能组织实施，围绕单位的本年度工作重点和工作计划制定经费预算，属于公共财政支持范围。本项目与部门内部其他相关项目不重复。部门发展规划及职能文件等归档完整。根据评分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（2）立项程序规范性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决算依据编制工作计划和经费预算，经过与部门项目分管领导沟通、筛选确定经费预算计划，确定最终预算方案。项目的审批文件、材料符合相关要求，项目事前经过必要的专家论证、评估及集体决策，保障了程序的规范性。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2.绩效目标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绩效目标指标从绩效目标合理性、绩效指标明确性2个方面进行评价，权重分值5分，实际得分5分。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（1）绩效目标合理性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也克先拜巴扎镇偿还以前年度欠款项目实施方案》，明确了总体思路及目标。绩效目标表经过审核，绩效目标与实际工作内容具有相关性，预算与确定的项目投资额相匹配，对项目任务进行了详细分解。项目预期产出效益及效果符合正常的业绩水平。根据评价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（2）绩效指标明确性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设置了明确的预期产出效益和效果，将绩效目标细化分解为具体的绩效指标，项目的三级指标设置与项目目标任务数相对应，绩效目标设定的绩效指标清晰、细化、可衡量。根据评价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3.资金投入</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资金投入指标从预算编制科学性、资金分配合理性2个方面进行评价，权重分值7分，实际得分7分。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（1）预算编制科学性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为年中追加预算，根据项目需求编制，预算编制与单位职能相匹配，预算编制经过科学论证，提供充分的测算依据佐证资料，编制准确可靠的数据和信息。确保预算内容与项目内容相匹配。项目投资额为34.07万元，主要用于偿还以前年度工程欠款和剩余项目尾款。</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项目投资额与工作任务相匹配。预算编制的程序规范、透明，确保预算的公正性和公平性。根据评价标准，该指标不扣分，实际得分5分。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（2）资金分配合理性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项目进行全面的评估和分析，确定各个环节和部门的资金需求，确保资金的使用与项目的进展和目标实现紧密相关。通过合理的资金分配，确保项目的顺利进行，避免资金短缺或浪费，提高项目的整体效益。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分配时，优先满足关键任务的资金需求，确保项目按照计划和时间表进行。资金分配情况：2017年村级部分预算控制数25万元、2023年盐业有限公司帮扶部分预算控制数9.07万元。资金分配额度与项目单位实际工作内容相适应，资金分配额度合理，资金分配依据充分。根据评价标准，该指标不扣分，实际得分2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（二）项目过程情况。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过程类指标包括资金管理和组织实施两方面的内容，由6个三级指标构成，权重分值为15分，实际得分15分，得分率为100%。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1.资金管理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资金管理指标从资金到位率、预算执行率、资金使用合规性3个方面进行评价，权重分值8分，实际得分8分。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（1）资金到位率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财政资金及时足额到位，牵头单位能够及时足额按照合同约定将专项资金拨付给联合体单位，资金到位率为100%。预算资金按计划进度执行。根据评分标准，该指标不扣分，实际得分3分。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（2）预算执行率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预算编制较为详细，项目资金支出总体能够按照预算执行，预算执行率为100%。根据评分标准，该指标不扣分，实际得分3分。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（3）资金使用合规性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相关的制度和管理规定，对项目经费使用进行规范管理，财务制度健全、执行严格，资金的拨付有完整的审批程序和手续，资金使用符合该项目的立项批复。资金不存在截留、挤占、挪用、虚列支出等情况。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2.组织实施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组织实施指标从管理制度健全性、制度执行有效性、项目实施管理规范性3个方面进行评价，权重分值7分，实际得分7分。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（1）管理制度健全性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制定了《岳普湖县也克先拜巴扎镇人民政府项目经费管理办法》等相关管理办法，对财政资金进行严格管理，做到专款专用。项目的执行符合《岳普湖县也克先拜巴扎镇人民政府项目管理办法》等相关法律法规和管理规定。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（2）制度执行有效性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对资金使用的合法合规性进行监督，年末对资金使用效果进行评价。项目管理、实施人员落实到位，有效按照计划执行。项目执行情况等资料齐全，项目相关手续完备，及时进行归档。根据评分标准，该指标不扣分，实际得分2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（3）项目实施管理规范性</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①承接主体项目管理制度健全，项目实施符合相关项目管理规定；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②建立了实施领导机制并建立了完善的实施方案；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③建立了项目台账，台账记录全面、完整；</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④能接受和配合相关部门的监督检查及绩效评价。</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根据评分标准，该指标不扣分，实际得分3分。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（三）项目产出情况。</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产出类指标包括产出数量、产出质量、产出时效、产出成本四方面的内容，由7个三级指标构成，权重分为35分，实际得分35分，得分率为100%。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1.产出数量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偿还欠款项目数量年度指标值为大于等于2个，实际完成值为2个，完成预期目标，根据评分标准，该指标不扣分。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产出数量三级指标共计1个，指标从实际完成情况方面进行评价，权重分值9分，实际得分9分。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2.产出质量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项目经费保障率年度指标值为等于100%，实际完成值为100%，完成预期目标，根据评分标准，该指标不扣分。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资金使用合规性年度指标值为等于100%，实际完成值为100%，完成预期目标，根据评分标准，该指标不扣分。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产出质量三级指标共计2个，指标从质量达标方面进行评价，权重分值9分，实际得分9分。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3.产出时效</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资金支付及时性年度指标值为等于100%，实际完成值为100%，完成预期目标，根据评分标准，该指标不扣分。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资金支付完成时间年度指标值为2024年12月30日前，实际完成值为2024年6月14日，完成预期目标，根据评分标准，该指标不扣分。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产出时效三级指标共计2个，指标从完成及时性方面进行评价，权重分值8分，实际得分8分。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4.产出成本</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2017年村级部分预算控制数年度指标值为小于等于25万元，实际完成值为25万元，完成预期目标，根据评分标准，该指标不扣分。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2023年盐业有限公司帮扶部分预算控制数年度指标值为小于等于9.07万元，实际完成值为9.07万元，完成预期目标，根据评分标准，该指标不扣分。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产出成本三级指标共计2个，指标从成本节约情况进行评价，权重分值9分，实际得分9分。</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（四）项目效益情况。</w:t>
      </w:r>
    </w:p>
    <w:p>
      <w:pPr>
        <w:spacing w:line="540" w:lineRule="exact"/>
        <w:ind w:firstLine="567"/>
        <w:rPr>
          <w:rStyle w:val="Strong"/>
          <w:rFonts w:ascii="仿宋" w:eastAsia="仿宋" w:hAnsi="仿宋" w:cs="仿宋" w:hint="eastAsia"/>
          <w:b w:val="0"/>
          <w:bCs w:val="0"/>
          <w:spacing w:val="-4"/>
          <w:sz w:val="32"/>
          <w:szCs w:val="32"/>
        </w:rPr>
      </w:pPr>
      <w:r>
        <w:rPr>
          <w:rStyle w:val="Strong"/>
          <w:rFonts w:ascii="仿宋" w:eastAsia="仿宋" w:hAnsi="仿宋" w:cs="仿宋" w:hint="eastAsia"/>
          <w:b w:val="0"/>
          <w:bCs w:val="0"/>
          <w:spacing w:val="-4"/>
          <w:sz w:val="32"/>
          <w:szCs w:val="32"/>
        </w:rPr>
        <w:t xml:space="preserve">效益类指标包括项目效益1个方面的内容，由1个三级指标构成，权重分为30分，实际得分30分，得分率为100%。</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1.项目效益</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（1）实施效益指标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实施效益指标从项目实施所产生的效益方面进行评价，权重分值30分，实际得分30分。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①项目实施的经济效益分析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②项目实施的社会效益分析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提升政府部门的履约和服务能力，防范和化解地方政府隐性债务风险年度指标值为有效提升，实际完成值为有效提升，完成预期目标，根据评分标准，该指标不扣分，实际得30分。</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③项目实施的生态效益分析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④项目实施的可持续影响分析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Fonts w:ascii="楷体" w:eastAsia="楷体" w:hAnsi="楷体" w:cs="楷体"/>
          <w:b/>
          <w:spacing w:val="-4"/>
          <w:sz w:val="32"/>
          <w:szCs w:val="32"/>
        </w:rPr>
      </w:pPr>
      <w:r>
        <w:rPr>
          <w:rFonts w:ascii="楷体" w:eastAsia="楷体" w:hAnsi="楷体" w:cs="楷体" w:hint="eastAsia"/>
          <w:b/>
          <w:spacing w:val="-4"/>
          <w:sz w:val="32"/>
          <w:szCs w:val="32"/>
        </w:rPr>
        <w:t xml:space="preserve">（</w:t>
      </w:r>
      <w:r>
        <w:rPr>
          <w:rFonts w:ascii="楷体" w:eastAsia="楷体" w:hAnsi="楷体" w:cs="楷体" w:hint="eastAsia"/>
          <w:b/>
          <w:spacing w:val="-4"/>
          <w:sz w:val="32"/>
          <w:szCs w:val="32"/>
          <w:lang w:val="en-US" w:eastAsia="zh-CN"/>
        </w:rPr>
        <w:t xml:space="preserve">五</w:t>
      </w:r>
      <w:r>
        <w:rPr>
          <w:rFonts w:ascii="楷体" w:eastAsia="楷体" w:hAnsi="楷体" w:cs="楷体" w:hint="eastAsia"/>
          <w:b/>
          <w:spacing w:val="-4"/>
          <w:sz w:val="32"/>
          <w:szCs w:val="32"/>
        </w:rPr>
        <w:t xml:space="preserve">）满意度指标完成情况分析。</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本项目无此指标。</w:t>
      </w:r>
    </w:p>
    <w:p>
      <w:pPr>
        <w:spacing w:line="570" w:lineRule="exact"/>
        <w:ind w:firstLine="640" w:firstLineChars="200"/>
        <w:rPr>
          <w:rStyle w:val="Strong"/>
          <w:rFonts w:ascii="黑体" w:eastAsia="黑体" w:hAnsi="黑体" w:cs="黑体"/>
          <w:b w:val="0"/>
          <w:spacing w:val="-4"/>
          <w:sz w:val="32"/>
          <w:szCs w:val="32"/>
        </w:rPr>
      </w:pPr>
      <w:bookmarkStart w:id="0" w:name="_GoBack"/>
      <w:bookmarkEnd w:id="0"/>
      <w:r>
        <w:rPr>
          <w:rStyle w:val="Strong"/>
          <w:rFonts w:ascii="黑体" w:eastAsia="黑体" w:hAnsi="黑体" w:cs="黑体" w:hint="eastAsia"/>
          <w:b w:val="0"/>
          <w:spacing w:val="-4"/>
          <w:sz w:val="32"/>
          <w:szCs w:val="32"/>
        </w:rPr>
        <w:t xml:space="preserve">五、预算执行进度与绩效指标偏差</w:t>
      </w:r>
    </w:p>
    <w:p>
      <w:pPr>
        <w:spacing w:line="540" w:lineRule="exact"/>
        <w:ind w:firstLine="567"/>
        <w:rPr>
          <w:rFonts w:ascii="仿宋" w:eastAsia="仿宋" w:hAnsi="仿宋" w:cs="仿宋"/>
          <w:spacing w:val="-4"/>
          <w:sz w:val="32"/>
          <w:szCs w:val="32"/>
        </w:rPr>
      </w:pPr>
      <w:r>
        <w:rPr>
          <w:rStyle w:val="Strong"/>
          <w:rFonts w:ascii="仿宋" w:eastAsia="仿宋" w:hAnsi="仿宋" w:cs="仿宋" w:hint="eastAsia"/>
          <w:b w:val="0"/>
          <w:bCs w:val="0"/>
          <w:spacing w:val="-4"/>
          <w:sz w:val="32"/>
          <w:szCs w:val="32"/>
        </w:rPr>
        <w:t xml:space="preserve">“也克先拜巴扎镇偿还以前年度欠款项目”预算资金34.07万元，到位资金34.07万元，实际支出34.07万元，预算执行率为100%，项目绩效指标总体完成率为100%。项目无偏差。</w:t>
      </w:r>
    </w:p>
    <w:p>
      <w:pPr>
        <w:spacing w:line="570" w:lineRule="exact"/>
        <w:ind w:firstLine="640" w:firstLineChars="200"/>
        <w:rPr>
          <w:rStyle w:val="Strong"/>
          <w:rFonts w:ascii="黑体" w:eastAsia="黑体" w:hAnsi="黑体" w:cs="黑体" w:hint="eastAsia"/>
          <w:b w:val="0"/>
          <w:spacing w:val="-4"/>
          <w:sz w:val="32"/>
          <w:szCs w:val="32"/>
          <w:lang w:eastAsia="zh-CN"/>
        </w:rPr>
      </w:pPr>
      <w:r>
        <w:rPr>
          <w:rStyle w:val="Strong"/>
          <w:rFonts w:ascii="黑体" w:eastAsia="黑体" w:hAnsi="黑体" w:cs="黑体" w:hint="eastAsia"/>
          <w:b w:val="0"/>
          <w:spacing w:val="-4"/>
          <w:sz w:val="32"/>
          <w:szCs w:val="32"/>
        </w:rPr>
        <w:t xml:space="preserve">六、主要经验及做法、存在的问题及原因分析</w:t>
      </w:r>
      <w:r>
        <w:rPr>
          <w:rStyle w:val="Strong"/>
          <w:rFonts w:ascii="黑体" w:eastAsia="黑体" w:hAnsi="黑体" w:cs="黑体" w:hint="eastAsia"/>
          <w:b w:val="0"/>
          <w:spacing w:val="-4"/>
          <w:sz w:val="32"/>
          <w:szCs w:val="32"/>
          <w:lang w:eastAsia="zh-CN"/>
        </w:rPr>
        <w:t xml:space="preserve">、下一步改进措施</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（一）主要经验及做法</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积极沟通协商。针对工程款拖欠问题，也克先拜巴扎镇党委、政府积极与施工单位开展多轮协商。在充分考虑双方实际情况的基础上，达成共识。这种协商解决的方式，不仅有效降低了政府债务风险，还避免了因工程款纠纷可能引发的越级、群体上访事件，维护了社会稳定。</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2.合理使用捐赠资金。也克先拜巴扎镇政府精准规划捐赠资金用途，将其用于乡村振兴基础设施建设和人居环境改善。严格按照规定流程进行资金支付，确保捐赠资金发挥最大效益，切实提升了村民的生活质量。</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（二）存在的问题及原因分析</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1.资金支付存在拖延。工程2017年完工并验收后，剩余工程款长期未支付，直至2024才与中标单位达成协商解决方案，这期间不仅影响了中标单位的资金周转，也损害了政府的公信力。</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2.资金来源渠道单一。在解决债务问题和推进项目建设过程中，资金来源主要依赖捐赠和财政支付，缺乏多元化的资金筹集渠道。一旦捐赠资金不足或财政紧张，可能会影响项目的顺利进行和债务的及时清偿。</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（三）下一步改进措施</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1.加强项目资金管理。建立项目资金支付台账，对项目资金的使用情况进行实时跟踪和管理。明确资金支付的时间节点和责任人，加强对资金支付进度的考核，杜绝拖延支付现象的发生。</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2.拓宽资金筹集渠道。积极探索多元化的资金筹集渠道，除了争取捐赠和财政支持外，还可以通过引入社会资本等方式筹集资金。</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七、有关建议</w:t>
      </w:r>
    </w:p>
    <w:p>
      <w:pPr>
        <w:spacing w:line="540" w:lineRule="exact"/>
        <w:ind w:firstLine="567"/>
        <w:rPr>
          <w:rStyle w:val="Strong"/>
          <w:rFonts w:ascii="仿宋" w:eastAsia="仿宋" w:hAnsi="仿宋" w:cs="仿宋"/>
          <w:b w:val="0"/>
          <w:bCs w:val="0"/>
          <w:spacing w:val="-4"/>
          <w:sz w:val="32"/>
          <w:szCs w:val="32"/>
        </w:rPr>
      </w:pPr>
      <w:r>
        <w:rPr>
          <w:rStyle w:val="Strong"/>
          <w:rFonts w:ascii="仿宋" w:eastAsia="仿宋" w:hAnsi="仿宋" w:cs="仿宋" w:hint="eastAsia"/>
          <w:b w:val="0"/>
          <w:bCs w:val="0"/>
          <w:spacing w:val="-4"/>
          <w:sz w:val="32"/>
          <w:szCs w:val="32"/>
        </w:rPr>
        <w:t xml:space="preserve">1.建立长效债务风险防范机制。建议也克先拜巴扎镇政府建立长效的债务风险防范机制，对政府债务进行全面梳理和评估，制定合理的债务偿还计划。同时，加强对政府债务的动态监测，及时发现和化解债务风险。</w:t>
      </w:r>
      <w:r>
        <w:rPr>
          <w:rFonts w:ascii="仿宋" w:eastAsia="仿宋" w:hAnsi="仿宋" w:cs="仿宋" w:hint="eastAsia"/>
          <w:b w:val="0"/>
          <w:bCs w:val="0"/>
          <w:spacing w:val="-4"/>
          <w:sz w:val="32"/>
          <w:szCs w:val="32"/>
        </w:rPr>
        <w:br/>
      </w:r>
      <w:r>
        <w:rPr>
          <w:rStyle w:val="Strong"/>
          <w:rFonts w:ascii="仿宋" w:eastAsia="仿宋" w:hAnsi="仿宋" w:cs="仿宋" w:hint="eastAsia"/>
          <w:b w:val="0"/>
          <w:bCs w:val="0"/>
          <w:spacing w:val="-4"/>
          <w:sz w:val="32"/>
          <w:szCs w:val="32"/>
        </w:rPr>
        <w:t xml:space="preserve">2.加强与上级部门的沟通协调。积极与上级部门沟通协调，争取更多的政策支持和资金扶持。特别是在解决隐性债务问题和推进民生项目建设方面，上级部门的支持将起到重要作用。</w:t>
      </w:r>
    </w:p>
    <w:p>
      <w:pPr>
        <w:spacing w:line="570" w:lineRule="exact"/>
        <w:ind w:firstLine="640" w:firstLineChars="200"/>
        <w:rPr>
          <w:rStyle w:val="Strong"/>
          <w:rFonts w:ascii="黑体" w:eastAsia="黑体" w:hAnsi="黑体" w:cs="黑体"/>
          <w:b w:val="0"/>
          <w:spacing w:val="-4"/>
          <w:sz w:val="32"/>
          <w:szCs w:val="32"/>
        </w:rPr>
      </w:pPr>
      <w:r>
        <w:rPr>
          <w:rStyle w:val="Strong"/>
          <w:rFonts w:ascii="黑体" w:eastAsia="黑体" w:hAnsi="黑体" w:cs="黑体" w:hint="eastAsia"/>
          <w:b w:val="0"/>
          <w:spacing w:val="-4"/>
          <w:sz w:val="32"/>
          <w:szCs w:val="32"/>
        </w:rPr>
        <w:t xml:space="preserve">八、其他需要说明的问题</w:t>
      </w:r>
    </w:p>
    <w:p>
      <w:pPr>
        <w:spacing w:line="540" w:lineRule="exact"/>
        <w:ind w:firstLine="567"/>
        <w:rPr>
          <w:rStyle w:val="Strong"/>
          <w:rFonts w:ascii="仿宋" w:eastAsia="仿宋" w:hAnsi="仿宋"/>
          <w:b w:val="0"/>
          <w:spacing w:val="-4"/>
          <w:sz w:val="32"/>
          <w:szCs w:val="32"/>
        </w:rPr>
      </w:pPr>
      <w:r>
        <w:rPr>
          <w:rStyle w:val="Strong"/>
          <w:rFonts w:ascii="仿宋" w:eastAsia="仿宋" w:hAnsi="仿宋" w:cs="仿宋" w:hint="eastAsia"/>
          <w:b w:val="0"/>
          <w:bCs w:val="0"/>
          <w:spacing w:val="-4"/>
          <w:sz w:val="32"/>
          <w:szCs w:val="32"/>
        </w:rPr>
        <w:t xml:space="preserve">我单位对上述项目支出绩效评价报告内反映内容的真实性、完整性负责，接受上级部门及社会公众监督。</w:t>
      </w:r>
    </w:p>
    <w:sectPr>
      <w:footerReference w:type="default" r:id="rId2"/>
      <w:pgSz w:w="11906" w:h="16838" w:orient="portrait"/>
      <w:pgMar w:top="1440" w:right="1558" w:bottom="1440" w:left="1800" w:header="851" w:footer="992" w:gutter="0"/>
      <w:pgBorders/>
      <w:cols w:num="1" w:space="425">
        <w:col w:w="8548" w:space="425"/>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sdt>
    <w:sdtPr>
      <w:id w:val="422003363"/>
    </w:sdtPr>
    <w:sdtContent>
      <w:p>
        <w:pPr>
          <w:pStyle w:val="Footer"/>
          <w:jc w:val="center"/>
        </w:pPr>
        <w:r>
          <w:fldChar w:fldCharType="begin"/>
        </w:r>
        <w:r>
          <w:instrText xml:space="preserve">PAGE   \* MERGEFORMAT</w:instrText>
        </w:r>
        <w:r>
          <w:fldChar w:fldCharType="separate"/>
        </w:r>
        <w:r>
          <w:rPr>
            <w:lang w:val="zh-CN"/>
          </w:rPr>
          <w:t xml:space="preserve">1</w:t>
        </w:r>
        <w:r>
          <w:fldChar w:fldCharType="end"/>
        </w:r>
      </w:p>
    </w:sdtContent>
  </w:sdt>
  <w:p>
    <w:pPr>
      <w:pStyle w:val="Foote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13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OTc0ZGFmZGVlMTU2YmFlODYzODJmYzUzZGI2NmMwNGE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qFormat="1"/>
    <w:lsdException w:name="footer" w:semiHidden="0" w:qFormat="1"/>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qFormat="1"/>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字符"/>
    <w:uiPriority w:val="9"/>
    <w:qFormat/>
    <w:pPr>
      <w:keepNext/>
      <w:widowControl/>
      <w:spacing w:before="240" w:after="60"/>
      <w:jc w:val="left"/>
      <w:outlineLvl w:val="0"/>
    </w:pPr>
    <w:rPr>
      <w:rFonts w:ascii="Cambria" w:eastAsia="宋体" w:hAnsi="Cambria" w:asciiTheme="majorHAnsi" w:eastAsiaTheme="majorEastAsia" w:hAnsiTheme="majorHAnsi"/>
      <w:b/>
      <w:bCs/>
      <w:kern w:val="32"/>
      <w:sz w:val="32"/>
      <w:szCs w:val="32"/>
    </w:rPr>
  </w:style>
  <w:style w:type="paragraph" w:styleId="Heading2">
    <w:name w:val="Heading 2"/>
    <w:basedOn w:val="Normal"/>
    <w:next w:val="Normal"/>
    <w:link w:val="标题2字符"/>
    <w:uiPriority w:val="9"/>
    <w:semiHidden/>
    <w:unhideWhenUsed/>
    <w:qFormat/>
    <w:pPr>
      <w:keepNext/>
      <w:widowControl/>
      <w:spacing w:before="240" w:after="60"/>
      <w:jc w:val="left"/>
      <w:outlineLvl w:val="1"/>
    </w:pPr>
    <w:rPr>
      <w:rFonts w:ascii="Cambria" w:eastAsia="宋体" w:hAnsi="Cambria" w:asciiTheme="majorHAnsi" w:eastAsiaTheme="majorEastAsia" w:hAnsiTheme="majorHAnsi"/>
      <w:b/>
      <w:bCs/>
      <w:i/>
      <w:iCs/>
      <w:kern w:val="0"/>
      <w:sz w:val="28"/>
      <w:szCs w:val="28"/>
    </w:rPr>
  </w:style>
  <w:style w:type="paragraph" w:styleId="Heading3">
    <w:name w:val="Heading 3"/>
    <w:basedOn w:val="Normal"/>
    <w:next w:val="Normal"/>
    <w:link w:val="标题3字符"/>
    <w:uiPriority w:val="9"/>
    <w:semiHidden/>
    <w:unhideWhenUsed/>
    <w:qFormat/>
    <w:pPr>
      <w:keepNext/>
      <w:widowControl/>
      <w:spacing w:before="240" w:after="60"/>
      <w:jc w:val="left"/>
      <w:outlineLvl w:val="2"/>
    </w:pPr>
    <w:rPr>
      <w:rFonts w:ascii="Cambria" w:eastAsia="宋体" w:hAnsi="Cambria" w:asciiTheme="majorHAnsi" w:eastAsiaTheme="majorEastAsia" w:hAnsiTheme="majorHAnsi"/>
      <w:b/>
      <w:bCs/>
      <w:kern w:val="0"/>
      <w:sz w:val="26"/>
      <w:szCs w:val="26"/>
    </w:rPr>
  </w:style>
  <w:style w:type="paragraph" w:styleId="Heading4">
    <w:name w:val="Heading 4"/>
    <w:basedOn w:val="Normal"/>
    <w:next w:val="Normal"/>
    <w:link w:val="标题4字符"/>
    <w:uiPriority w:val="9"/>
    <w:unhideWhenUsed/>
    <w:qFormat/>
    <w:pPr>
      <w:keepNext/>
      <w:widowControl/>
      <w:spacing w:before="240" w:after="60"/>
      <w:jc w:val="left"/>
      <w:outlineLvl w:val="3"/>
    </w:pPr>
    <w:rPr>
      <w:rFonts w:ascii="Calibri" w:eastAsia="宋体" w:hAnsi="Calibri" w:asciiTheme="minorHAnsi" w:eastAsiaTheme="minorEastAsia" w:hAnsiTheme="minorHAnsi"/>
      <w:b/>
      <w:bCs/>
      <w:kern w:val="0"/>
      <w:sz w:val="28"/>
      <w:szCs w:val="28"/>
    </w:rPr>
  </w:style>
  <w:style w:type="paragraph" w:styleId="Heading5">
    <w:name w:val="Heading 5"/>
    <w:basedOn w:val="Normal"/>
    <w:next w:val="Normal"/>
    <w:link w:val="标题5字符"/>
    <w:uiPriority w:val="9"/>
    <w:semiHidden/>
    <w:unhideWhenUsed/>
    <w:qFormat/>
    <w:pPr>
      <w:widowControl/>
      <w:spacing w:before="240" w:after="60"/>
      <w:jc w:val="left"/>
      <w:outlineLvl w:val="4"/>
    </w:pPr>
    <w:rPr>
      <w:rFonts w:ascii="Calibri" w:eastAsia="宋体" w:hAnsi="Calibri" w:asciiTheme="minorHAnsi" w:eastAsiaTheme="minorEastAsia" w:hAnsiTheme="minorHAnsi"/>
      <w:b/>
      <w:bCs/>
      <w:i/>
      <w:iCs/>
      <w:kern w:val="0"/>
      <w:sz w:val="26"/>
      <w:szCs w:val="26"/>
    </w:rPr>
  </w:style>
  <w:style w:type="paragraph" w:styleId="Heading6">
    <w:name w:val="Heading 6"/>
    <w:basedOn w:val="Normal"/>
    <w:next w:val="Normal"/>
    <w:link w:val="标题6字符"/>
    <w:uiPriority w:val="9"/>
    <w:semiHidden/>
    <w:unhideWhenUsed/>
    <w:qFormat/>
    <w:pPr>
      <w:widowControl/>
      <w:spacing w:before="240" w:after="60"/>
      <w:jc w:val="left"/>
      <w:outlineLvl w:val="5"/>
    </w:pPr>
    <w:rPr>
      <w:rFonts w:ascii="Calibri" w:eastAsia="宋体" w:hAnsi="Calibri" w:asciiTheme="minorHAnsi" w:eastAsiaTheme="minorEastAsia" w:hAnsiTheme="minorHAnsi"/>
      <w:b/>
      <w:bCs/>
      <w:kern w:val="0"/>
      <w:sz w:val="22"/>
      <w:szCs w:val="22"/>
    </w:rPr>
  </w:style>
  <w:style w:type="paragraph" w:styleId="Heading7">
    <w:name w:val="Heading 7"/>
    <w:basedOn w:val="Normal"/>
    <w:next w:val="Normal"/>
    <w:link w:val="标题7字符"/>
    <w:uiPriority w:val="9"/>
    <w:semiHidden/>
    <w:unhideWhenUsed/>
    <w:qFormat/>
    <w:pPr>
      <w:widowControl/>
      <w:spacing w:before="240" w:after="60"/>
      <w:jc w:val="left"/>
      <w:outlineLvl w:val="6"/>
    </w:pPr>
    <w:rPr>
      <w:rFonts w:ascii="Calibri" w:eastAsia="宋体" w:hAnsi="Calibri" w:asciiTheme="minorHAnsi" w:eastAsiaTheme="minorEastAsia" w:hAnsiTheme="minorHAnsi"/>
      <w:kern w:val="0"/>
      <w:sz w:val="24"/>
    </w:rPr>
  </w:style>
  <w:style w:type="paragraph" w:styleId="Heading8">
    <w:name w:val="Heading 8"/>
    <w:basedOn w:val="Normal"/>
    <w:next w:val="Normal"/>
    <w:link w:val="标题8字符"/>
    <w:uiPriority w:val="9"/>
    <w:semiHidden/>
    <w:unhideWhenUsed/>
    <w:qFormat/>
    <w:pPr>
      <w:widowControl/>
      <w:spacing w:before="240" w:after="60"/>
      <w:jc w:val="left"/>
      <w:outlineLvl w:val="7"/>
    </w:pPr>
    <w:rPr>
      <w:rFonts w:ascii="Calibri" w:eastAsia="宋体" w:hAnsi="Calibri" w:asciiTheme="minorHAnsi" w:eastAsiaTheme="minorEastAsia" w:hAnsiTheme="minorHAnsi"/>
      <w:i/>
      <w:iCs/>
      <w:kern w:val="0"/>
      <w:sz w:val="24"/>
    </w:rPr>
  </w:style>
  <w:style w:type="paragraph" w:styleId="Heading9">
    <w:name w:val="Heading 9"/>
    <w:basedOn w:val="Normal"/>
    <w:next w:val="Normal"/>
    <w:link w:val="标题9字符"/>
    <w:uiPriority w:val="9"/>
    <w:semiHidden/>
    <w:unhideWhenUsed/>
    <w:qFormat/>
    <w:pPr>
      <w:widowControl/>
      <w:spacing w:before="240" w:after="60"/>
      <w:jc w:val="left"/>
      <w:outlineLvl w:val="8"/>
    </w:pPr>
    <w:rPr>
      <w:rFonts w:ascii="Cambria" w:eastAsia="宋体" w:hAnsi="Cambria" w:asciiTheme="majorHAnsi" w:eastAsiaTheme="majorEastAsia" w:hAnsiTheme="majorHAnsi"/>
      <w:kern w:val="0"/>
      <w:sz w:val="22"/>
      <w:szCs w:val="22"/>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alloonText">
    <w:name w:val="Balloon Text"/>
    <w:basedOn w:val="Normal"/>
    <w:link w:val="批注框文本字符"/>
    <w:uiPriority w:val="99"/>
    <w:semiHidden/>
    <w:unhideWhenUsed/>
    <w:qFormat/>
    <w:rPr>
      <w:sz w:val="18"/>
      <w:szCs w:val="18"/>
    </w:rPr>
  </w:style>
  <w:style w:type="paragraph" w:styleId="Footer">
    <w:name w:val="Footer"/>
    <w:basedOn w:val="Normal"/>
    <w:link w:val="页脚字符"/>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字符"/>
    <w:uiPriority w:val="99"/>
    <w:unhideWhenUsed/>
    <w:qFormat/>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字符"/>
    <w:uiPriority w:val="11"/>
    <w:qFormat/>
    <w:pPr>
      <w:widowControl/>
      <w:spacing w:after="60"/>
      <w:jc w:val="center"/>
      <w:outlineLvl w:val="1"/>
    </w:pPr>
    <w:rPr>
      <w:rFonts w:ascii="Cambria" w:eastAsia="宋体" w:hAnsi="Cambria" w:asciiTheme="majorHAnsi" w:eastAsiaTheme="majorEastAsia" w:hAnsiTheme="majorHAnsi"/>
      <w:kern w:val="0"/>
      <w:sz w:val="24"/>
    </w:rPr>
  </w:style>
  <w:style w:type="paragraph" w:styleId="Title">
    <w:name w:val="Title"/>
    <w:basedOn w:val="Normal"/>
    <w:next w:val="Normal"/>
    <w:link w:val="标题字符"/>
    <w:uiPriority w:val="10"/>
    <w:qFormat/>
    <w:pPr>
      <w:widowControl/>
      <w:spacing w:before="240" w:after="60"/>
      <w:jc w:val="center"/>
      <w:outlineLvl w:val="0"/>
    </w:pPr>
    <w:rPr>
      <w:rFonts w:ascii="Cambria" w:eastAsia="宋体" w:hAnsi="Cambria"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Calibri" w:hAnsi="Calibri" w:asciiTheme="minorHAnsi" w:hAnsiTheme="minorHAnsi"/>
      <w:b/>
      <w:i/>
      <w:iCs/>
    </w:rPr>
  </w:style>
  <w:style w:type="character" w:customStyle="1" w:styleId="标题1字符">
    <w:name w:val="标题 1 字符"/>
    <w:basedOn w:val="DefaultParagraphFont"/>
    <w:link w:val="Heading1"/>
    <w:uiPriority w:val="9"/>
    <w:qFormat/>
    <w:rPr>
      <w:rFonts w:ascii="Cambria" w:eastAsia="宋体" w:hAnsi="Cambria" w:asciiTheme="majorHAnsi" w:eastAsiaTheme="majorEastAsia" w:hAnsiTheme="majorHAnsi"/>
      <w:b/>
      <w:bCs/>
      <w:kern w:val="32"/>
      <w:sz w:val="32"/>
      <w:szCs w:val="32"/>
    </w:rPr>
  </w:style>
  <w:style w:type="character" w:customStyle="1" w:styleId="标题2字符">
    <w:name w:val="标题 2 字符"/>
    <w:basedOn w:val="DefaultParagraphFont"/>
    <w:link w:val="Heading2"/>
    <w:uiPriority w:val="9"/>
    <w:semiHidden/>
    <w:qFormat/>
    <w:rPr>
      <w:rFonts w:ascii="Cambria" w:eastAsia="宋体" w:hAnsi="Cambria" w:asciiTheme="majorHAnsi" w:eastAsiaTheme="majorEastAsia" w:hAnsiTheme="majorHAnsi"/>
      <w:b/>
      <w:bCs/>
      <w:i/>
      <w:iCs/>
      <w:sz w:val="28"/>
      <w:szCs w:val="28"/>
    </w:rPr>
  </w:style>
  <w:style w:type="character" w:customStyle="1" w:styleId="标题3字符">
    <w:name w:val="标题 3 字符"/>
    <w:basedOn w:val="DefaultParagraphFont"/>
    <w:link w:val="Heading3"/>
    <w:uiPriority w:val="9"/>
    <w:semiHidden/>
    <w:qFormat/>
    <w:rPr>
      <w:rFonts w:ascii="Cambria" w:eastAsia="宋体" w:hAnsi="Cambria" w:asciiTheme="majorHAnsi" w:eastAsiaTheme="majorEastAsia" w:hAnsiTheme="majorHAnsi"/>
      <w:b/>
      <w:bCs/>
      <w:sz w:val="26"/>
      <w:szCs w:val="26"/>
    </w:rPr>
  </w:style>
  <w:style w:type="character" w:customStyle="1" w:styleId="标题4字符">
    <w:name w:val="标题 4 字符"/>
    <w:basedOn w:val="DefaultParagraphFont"/>
    <w:link w:val="Heading4"/>
    <w:uiPriority w:val="9"/>
    <w:qFormat/>
    <w:rPr>
      <w:b/>
      <w:bCs/>
      <w:sz w:val="28"/>
      <w:szCs w:val="28"/>
    </w:rPr>
  </w:style>
  <w:style w:type="character" w:customStyle="1" w:styleId="标题5字符">
    <w:name w:val="标题 5 字符"/>
    <w:basedOn w:val="DefaultParagraphFont"/>
    <w:link w:val="Heading5"/>
    <w:uiPriority w:val="9"/>
    <w:semiHidden/>
    <w:qFormat/>
    <w:rPr>
      <w:b/>
      <w:bCs/>
      <w:i/>
      <w:iCs/>
      <w:sz w:val="26"/>
      <w:szCs w:val="26"/>
    </w:rPr>
  </w:style>
  <w:style w:type="character" w:customStyle="1" w:styleId="标题6字符">
    <w:name w:val="标题 6 字符"/>
    <w:basedOn w:val="DefaultParagraphFont"/>
    <w:link w:val="Heading6"/>
    <w:uiPriority w:val="9"/>
    <w:semiHidden/>
    <w:qFormat/>
    <w:rPr>
      <w:b/>
      <w:bCs/>
    </w:rPr>
  </w:style>
  <w:style w:type="character" w:customStyle="1" w:styleId="标题7字符">
    <w:name w:val="标题 7 字符"/>
    <w:basedOn w:val="DefaultParagraphFont"/>
    <w:link w:val="Heading7"/>
    <w:uiPriority w:val="9"/>
    <w:semiHidden/>
    <w:qFormat/>
    <w:rPr>
      <w:sz w:val="24"/>
      <w:szCs w:val="24"/>
    </w:rPr>
  </w:style>
  <w:style w:type="character" w:customStyle="1" w:styleId="标题8字符">
    <w:name w:val="标题 8 字符"/>
    <w:basedOn w:val="DefaultParagraphFont"/>
    <w:link w:val="Heading8"/>
    <w:uiPriority w:val="9"/>
    <w:semiHidden/>
    <w:qFormat/>
    <w:rPr>
      <w:i/>
      <w:iCs/>
      <w:sz w:val="24"/>
      <w:szCs w:val="24"/>
    </w:rPr>
  </w:style>
  <w:style w:type="character" w:customStyle="1" w:styleId="标题9字符">
    <w:name w:val="标题 9 字符"/>
    <w:basedOn w:val="DefaultParagraphFont"/>
    <w:link w:val="Heading9"/>
    <w:uiPriority w:val="9"/>
    <w:semiHidden/>
    <w:qFormat/>
    <w:rPr>
      <w:rFonts w:ascii="Cambria" w:eastAsia="宋体" w:hAnsi="Cambria" w:asciiTheme="majorHAnsi" w:eastAsiaTheme="majorEastAsia" w:hAnsiTheme="majorHAnsi"/>
    </w:rPr>
  </w:style>
  <w:style w:type="character" w:customStyle="1" w:styleId="标题字符">
    <w:name w:val="标题 字符"/>
    <w:basedOn w:val="DefaultParagraphFont"/>
    <w:link w:val="Title"/>
    <w:uiPriority w:val="10"/>
    <w:qFormat/>
    <w:rPr>
      <w:rFonts w:ascii="Cambria" w:eastAsia="宋体" w:hAnsi="Cambria" w:asciiTheme="majorHAnsi" w:eastAsiaTheme="majorEastAsia" w:hAnsiTheme="majorHAnsi"/>
      <w:b/>
      <w:bCs/>
      <w:kern w:val="28"/>
      <w:sz w:val="32"/>
      <w:szCs w:val="32"/>
    </w:rPr>
  </w:style>
  <w:style w:type="character" w:customStyle="1" w:styleId="副标题字符">
    <w:name w:val="副标题 字符"/>
    <w:basedOn w:val="DefaultParagraphFont"/>
    <w:link w:val="Subtitle"/>
    <w:uiPriority w:val="11"/>
    <w:qFormat/>
    <w:rPr>
      <w:rFonts w:ascii="Cambria" w:eastAsia="宋体" w:hAnsi="Cambria" w:asciiTheme="majorHAnsi" w:eastAsiaTheme="majorEastAsia" w:hAnsiTheme="majorHAnsi"/>
      <w:sz w:val="24"/>
      <w:szCs w:val="24"/>
    </w:rPr>
  </w:style>
  <w:style w:type="paragraph" w:styleId="NoSpacing">
    <w:name w:val="No Spacing"/>
    <w:basedOn w:val="Normal"/>
    <w:uiPriority w:val="1"/>
    <w:qFormat/>
    <w:pPr>
      <w:widowControl/>
      <w:jc w:val="left"/>
    </w:pPr>
    <w:rPr>
      <w:rFonts w:ascii="Calibri" w:eastAsia="宋体" w:hAnsi="Calibri"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Calibri" w:eastAsia="宋体" w:hAnsi="Calibri" w:asciiTheme="minorHAnsi" w:eastAsiaTheme="minorEastAsia" w:hAnsiTheme="minorHAnsi"/>
      <w:kern w:val="0"/>
      <w:sz w:val="24"/>
      <w:lang w:eastAsia="en-US" w:bidi="en-US"/>
    </w:rPr>
  </w:style>
  <w:style w:type="paragraph" w:styleId="Quote">
    <w:name w:val="Quote"/>
    <w:basedOn w:val="Normal"/>
    <w:next w:val="Normal"/>
    <w:link w:val="引用字符"/>
    <w:uiPriority w:val="29"/>
    <w:qFormat/>
    <w:pPr>
      <w:widowControl/>
      <w:jc w:val="left"/>
    </w:pPr>
    <w:rPr>
      <w:rFonts w:ascii="Calibri" w:eastAsia="宋体" w:hAnsi="Calibri" w:asciiTheme="minorHAnsi" w:eastAsiaTheme="minorEastAsia" w:hAnsiTheme="minorHAnsi"/>
      <w:i/>
      <w:kern w:val="0"/>
      <w:sz w:val="24"/>
    </w:rPr>
  </w:style>
  <w:style w:type="character" w:customStyle="1" w:styleId="引用字符">
    <w:name w:val="引用 字符"/>
    <w:basedOn w:val="DefaultParagraphFont"/>
    <w:link w:val="Quote"/>
    <w:uiPriority w:val="29"/>
    <w:qFormat/>
    <w:rPr>
      <w:i/>
      <w:sz w:val="24"/>
      <w:szCs w:val="24"/>
    </w:rPr>
  </w:style>
  <w:style w:type="paragraph" w:styleId="IntenseQuote">
    <w:name w:val="Intense Quote"/>
    <w:basedOn w:val="Normal"/>
    <w:next w:val="Normal"/>
    <w:link w:val="明显引用字符"/>
    <w:uiPriority w:val="30"/>
    <w:qFormat/>
    <w:pPr>
      <w:widowControl/>
      <w:ind w:left="720" w:right="720"/>
      <w:jc w:val="left"/>
    </w:pPr>
    <w:rPr>
      <w:rFonts w:ascii="Calibri" w:eastAsia="宋体" w:hAnsi="Calibri" w:asciiTheme="minorHAnsi" w:eastAsiaTheme="minorEastAsia" w:hAnsiTheme="minorHAnsi"/>
      <w:b/>
      <w:i/>
      <w:kern w:val="0"/>
      <w:sz w:val="24"/>
      <w:szCs w:val="22"/>
    </w:rPr>
  </w:style>
  <w:style w:type="character" w:customStyle="1" w:styleId="明显引用字符">
    <w:name w:val="明显引用 字符"/>
    <w:basedOn w:val="DefaultParagraphFont"/>
    <w:link w:val="IntenseQuote"/>
    <w:uiPriority w:val="30"/>
    <w:qFormat/>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Cambria" w:eastAsia="宋体" w:hAnsi="Cambria"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字符">
    <w:name w:val="页眉 字符"/>
    <w:basedOn w:val="DefaultParagraphFont"/>
    <w:link w:val="Header"/>
    <w:uiPriority w:val="99"/>
    <w:qFormat/>
    <w:rPr>
      <w:rFonts w:ascii="Calibri" w:eastAsia="宋体" w:hAnsi="Calibri"/>
      <w:kern w:val="2"/>
      <w:sz w:val="18"/>
      <w:szCs w:val="18"/>
    </w:rPr>
  </w:style>
  <w:style w:type="character" w:customStyle="1" w:styleId="页脚字符">
    <w:name w:val="页脚 字符"/>
    <w:basedOn w:val="DefaultParagraphFont"/>
    <w:link w:val="Footer"/>
    <w:uiPriority w:val="99"/>
    <w:qFormat/>
    <w:rPr>
      <w:rFonts w:ascii="Calibri" w:eastAsia="宋体" w:hAnsi="Calibri"/>
      <w:kern w:val="2"/>
      <w:sz w:val="18"/>
      <w:szCs w:val="18"/>
    </w:rPr>
  </w:style>
  <w:style w:type="character" w:customStyle="1" w:styleId="批注框文本字符">
    <w:name w:val="批注框文本 字符"/>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footer" Target="footer1.xml"/><Relationship Id="rId3" Type="http://schemas.openxmlformats.org/officeDocument/2006/relationships/theme" Target="theme/theme1.xml"/><Relationship Id="rId4" Type="http://schemas.openxmlformats.org/officeDocument/2006/relationships/styles" Target="styles.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299A846E7742483FADE25949A45A48D3_12</vt:lpwstr>
  </property>
</Properties>
</file>

<file path=customXml/itemProps1.xml><?xml version="1.0" encoding="utf-8"?>
<ds:datastoreItem xmlns:ds="http://schemas.openxmlformats.org/officeDocument/2006/customXml" ds:itemID="">
  <ds:schemaRefs/>
</ds:datastoreItem>
</file>

<file path=docProps/app.xml><?xml version="1.0" encoding="utf-8"?>
<Properties xmlns:vt="http://schemas.openxmlformats.org/officeDocument/2006/docPropsVTypes" xmlns="http://schemas.openxmlformats.org/officeDocument/2006/extended-properties">
  <Template>Normal</Template>
  <TotalTime>0</TotalTime>
  <Pages>3</Pages>
  <Words>341</Words>
  <Characters>646</Characters>
  <Application>WPS Office_11.1.0.14036_F1E327BC-269C-435d-A152-05C5408002CA</Application>
  <DocSecurity>0</DocSecurity>
  <Lines>5</Lines>
  <Paragraphs>1</Paragraphs>
  <Company>Microsoft</Company>
  <CharactersWithSpaces>652</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ksjx-admin</cp:lastModifiedBy>
  <cp:revision>19</cp:revision>
  <cp:lastPrinted>2018-12-31T10:56:00Z</cp:lastPrinted>
  <dcterms:created xsi:type="dcterms:W3CDTF">2022-01-14T05:11:00Z</dcterms:created>
  <dcterms:modified xsi:type="dcterms:W3CDTF">2025-03-26T11:27:46Z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2052-11.1.0.14036</vt:lpwstr>
  </property>
  <property fmtid="{D5CDD505-2E9C-101B-9397-08002B2CF9AE}" pid="3" name="ICV">
    <vt:lpwstr>299A846E7742483FADE25949A45A48D3_12</vt:lpwstr>
  </property>
</Properties>
</file>