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岳普湖县也克先拜巴扎镇人民政府2024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7A4DA9D">
      <w:r>
        <w:br w:type="page"/>
      </w:r>
    </w:p>
    <w:p w14:paraId="29E59476">
      <w:pPr>
        <w:spacing w:line="640" w:lineRule="exact"/>
        <w:jc w:val="center"/>
        <w:outlineLvl w:val="1"/>
      </w:pPr>
      <w:r>
        <w:rPr>
          <w:rFonts w:ascii="黑体" w:hAnsi="黑体" w:eastAsia="黑体"/>
          <w:sz w:val="32"/>
        </w:rPr>
        <w:t>第一部分 单位概况</w:t>
      </w:r>
    </w:p>
    <w:p w14:paraId="0D066518">
      <w:pPr>
        <w:spacing w:line="640" w:lineRule="exact"/>
        <w:ind w:firstLine="640"/>
        <w:jc w:val="both"/>
        <w:outlineLvl w:val="2"/>
      </w:pPr>
      <w:r>
        <w:rPr>
          <w:rFonts w:ascii="黑体" w:hAnsi="黑体" w:eastAsia="黑体"/>
          <w:sz w:val="32"/>
        </w:rPr>
        <w:t>一、主要职能</w:t>
      </w:r>
    </w:p>
    <w:p w14:paraId="45348FBA">
      <w:pPr>
        <w:spacing w:line="580" w:lineRule="exact"/>
        <w:ind w:firstLine="640"/>
        <w:jc w:val="both"/>
      </w:pPr>
      <w:r>
        <w:rPr>
          <w:rFonts w:ascii="仿宋_GB2312" w:hAnsi="仿宋_GB2312" w:eastAsia="仿宋_GB2312"/>
          <w:sz w:val="32"/>
        </w:rPr>
        <w:t>认真贯彻执行党的路线、方针、政策，全面加强党的领导，巩固基层政权，把握农村改革发展稳定大局，充分发挥统揽全局的领导核心作用。完善</w:t>
      </w:r>
      <w:r>
        <w:rPr>
          <w:rFonts w:hint="eastAsia" w:ascii="仿宋_GB2312" w:hAnsi="仿宋_GB2312" w:eastAsia="仿宋_GB2312"/>
          <w:sz w:val="32"/>
          <w:lang w:eastAsia="zh-CN"/>
        </w:rPr>
        <w:t>党</w:t>
      </w:r>
      <w:r>
        <w:rPr>
          <w:rFonts w:ascii="仿宋_GB2312" w:hAnsi="仿宋_GB2312" w:eastAsia="仿宋_GB2312"/>
          <w:sz w:val="32"/>
        </w:rPr>
        <w:t>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镇步伐；推进乡村绿色发展，打造生态宜居美丽乡村；深化农村精神文明建设，树立健康文明新风尚；构建乡村治理体系，提升农村社会治理水平；落实强农惠农措施，培育主导产业和市场体系，抓好招</w:t>
      </w:r>
      <w:r>
        <w:rPr>
          <w:rFonts w:hint="eastAsia" w:ascii="仿宋_GB2312" w:hAnsi="仿宋_GB2312" w:eastAsia="仿宋_GB2312"/>
          <w:sz w:val="32"/>
          <w:lang w:eastAsia="zh-CN"/>
        </w:rPr>
        <w:t>商引资</w:t>
      </w:r>
      <w:r>
        <w:rPr>
          <w:rFonts w:ascii="仿宋_GB2312" w:hAnsi="仿宋_GB2312" w:eastAsia="仿宋_GB2312"/>
          <w:sz w:val="32"/>
        </w:rPr>
        <w:t>，促进经济发展和乡村振兴。</w:t>
      </w:r>
    </w:p>
    <w:p w14:paraId="09E7D6CA">
      <w:pPr>
        <w:spacing w:line="640" w:lineRule="exact"/>
        <w:ind w:firstLine="640"/>
        <w:jc w:val="both"/>
        <w:outlineLvl w:val="2"/>
      </w:pPr>
      <w:r>
        <w:rPr>
          <w:rFonts w:ascii="黑体" w:hAnsi="黑体" w:eastAsia="黑体"/>
          <w:sz w:val="32"/>
        </w:rPr>
        <w:t>二、机构设置及人员情况</w:t>
      </w:r>
    </w:p>
    <w:p w14:paraId="659D789A">
      <w:pPr>
        <w:spacing w:line="580" w:lineRule="exact"/>
        <w:ind w:firstLine="640"/>
        <w:jc w:val="both"/>
      </w:pPr>
      <w:r>
        <w:rPr>
          <w:rFonts w:ascii="仿宋_GB2312" w:hAnsi="仿宋_GB2312" w:eastAsia="仿宋_GB2312"/>
          <w:sz w:val="32"/>
        </w:rPr>
        <w:t>岳普湖县也克先拜巴扎镇人民政府2024年度，实有人数138人，其中：在职人员114人，增加8人；离休人员0人，增加0人；退休人员24人,增加2人。</w:t>
      </w:r>
    </w:p>
    <w:p w14:paraId="3A281B41">
      <w:pPr>
        <w:spacing w:line="580" w:lineRule="exact"/>
        <w:ind w:firstLine="640"/>
        <w:jc w:val="both"/>
      </w:pPr>
      <w:r>
        <w:rPr>
          <w:rFonts w:ascii="仿宋_GB2312" w:hAnsi="仿宋_GB2312" w:eastAsia="仿宋_GB2312"/>
          <w:sz w:val="32"/>
        </w:rPr>
        <w:t>岳普湖县也克先拜巴扎镇人民政府无下属预算单位，下设10个科室，分别是：党政综合办、党建工作办、经济发展和财政办、社会事务办（退役军人服务站）、综合执法办、农业发展服务中心、公共文化服务中心、村镇建设发展中心、综治和网格化服务中心、便民服务中心。</w:t>
      </w:r>
    </w:p>
    <w:p w14:paraId="52DADD62">
      <w:r>
        <w:br w:type="page"/>
      </w:r>
    </w:p>
    <w:p w14:paraId="368DD2A4">
      <w:pPr>
        <w:spacing w:line="240" w:lineRule="auto"/>
        <w:jc w:val="center"/>
        <w:outlineLvl w:val="1"/>
      </w:pPr>
      <w:r>
        <w:rPr>
          <w:rFonts w:ascii="黑体" w:hAnsi="黑体" w:eastAsia="黑体"/>
          <w:sz w:val="32"/>
        </w:rPr>
        <w:t>第二部分 部门决算情况说明</w:t>
      </w:r>
    </w:p>
    <w:p w14:paraId="712E7FB1">
      <w:pPr>
        <w:spacing w:line="640" w:lineRule="exact"/>
        <w:ind w:firstLine="640"/>
        <w:jc w:val="both"/>
        <w:outlineLvl w:val="2"/>
      </w:pPr>
      <w:r>
        <w:rPr>
          <w:rFonts w:ascii="黑体" w:hAnsi="黑体" w:eastAsia="黑体"/>
          <w:sz w:val="32"/>
        </w:rPr>
        <w:t>一、收入支出决算总体情况说明</w:t>
      </w:r>
    </w:p>
    <w:p w14:paraId="7AC36F02">
      <w:pPr>
        <w:spacing w:line="580" w:lineRule="exact"/>
        <w:ind w:firstLine="640"/>
        <w:jc w:val="both"/>
      </w:pPr>
      <w:r>
        <w:rPr>
          <w:rFonts w:ascii="仿宋_GB2312" w:hAnsi="仿宋_GB2312" w:eastAsia="仿宋_GB2312"/>
          <w:b/>
          <w:sz w:val="32"/>
        </w:rPr>
        <w:t>2024年度收入总计3,627.28万元，</w:t>
      </w:r>
      <w:r>
        <w:rPr>
          <w:rFonts w:ascii="仿宋_GB2312" w:hAnsi="仿宋_GB2312" w:eastAsia="仿宋_GB2312"/>
          <w:b w:val="0"/>
          <w:sz w:val="32"/>
        </w:rPr>
        <w:t>其中：本年收入合计3,627.28万元，使用非财政拨款结余（含专用结余）0.00万元，年初结转和结余0.00万元。</w:t>
      </w:r>
    </w:p>
    <w:p w14:paraId="4A8F78B1">
      <w:pPr>
        <w:spacing w:line="580" w:lineRule="exact"/>
        <w:ind w:firstLine="640"/>
        <w:jc w:val="both"/>
      </w:pPr>
      <w:r>
        <w:rPr>
          <w:rFonts w:ascii="仿宋_GB2312" w:hAnsi="仿宋_GB2312" w:eastAsia="仿宋_GB2312"/>
          <w:b/>
          <w:sz w:val="32"/>
        </w:rPr>
        <w:t>2024年度支出总计3,627.28万元，</w:t>
      </w:r>
      <w:r>
        <w:rPr>
          <w:rFonts w:ascii="仿宋_GB2312" w:hAnsi="仿宋_GB2312" w:eastAsia="仿宋_GB2312"/>
          <w:b w:val="0"/>
          <w:sz w:val="32"/>
        </w:rPr>
        <w:t>其中：本年支出合计3,627.28万元，结余分配0.00万元，年末结转和结余0.00万元。</w:t>
      </w:r>
    </w:p>
    <w:p w14:paraId="67361936">
      <w:pPr>
        <w:spacing w:line="580" w:lineRule="exact"/>
        <w:ind w:firstLine="640"/>
        <w:jc w:val="both"/>
      </w:pPr>
      <w:r>
        <w:rPr>
          <w:rFonts w:ascii="仿宋_GB2312" w:hAnsi="仿宋_GB2312" w:eastAsia="仿宋_GB2312"/>
          <w:b w:val="0"/>
          <w:sz w:val="32"/>
        </w:rPr>
        <w:t>收入支出总体与上年相比，减少14.69万元，下降0.40%，主要原因是：本年减少乡村振兴示范村项目资金，临时救助项目资金，对村集体经济组织的补助等项目支出。</w:t>
      </w:r>
    </w:p>
    <w:p w14:paraId="22898725">
      <w:pPr>
        <w:spacing w:line="640" w:lineRule="exact"/>
        <w:ind w:firstLine="640"/>
        <w:jc w:val="both"/>
        <w:outlineLvl w:val="2"/>
      </w:pPr>
      <w:r>
        <w:rPr>
          <w:rFonts w:ascii="黑体" w:hAnsi="黑体" w:eastAsia="黑体"/>
          <w:sz w:val="32"/>
        </w:rPr>
        <w:t>二、收入决算情况说明</w:t>
      </w:r>
    </w:p>
    <w:p w14:paraId="677AF410">
      <w:pPr>
        <w:spacing w:line="580" w:lineRule="exact"/>
        <w:ind w:firstLine="640"/>
        <w:jc w:val="both"/>
      </w:pPr>
      <w:r>
        <w:rPr>
          <w:rFonts w:ascii="仿宋_GB2312" w:hAnsi="仿宋_GB2312" w:eastAsia="仿宋_GB2312"/>
          <w:b/>
          <w:sz w:val="32"/>
        </w:rPr>
        <w:t>本年收入3,627.28万元，</w:t>
      </w:r>
      <w:r>
        <w:rPr>
          <w:rFonts w:ascii="仿宋_GB2312" w:hAnsi="仿宋_GB2312" w:eastAsia="仿宋_GB2312"/>
          <w:b w:val="0"/>
          <w:sz w:val="32"/>
        </w:rPr>
        <w:t>其中：财政拨款收入2,865.34万元，占78.99%；上级补助收入0.00万元，占0.00%；事业收入0.00万元，占0.00%；经营收入0.00万元，占0.00%；附属单位上缴收入0.00万元，占0.00%；其他收入761.93万元，占21.01%。</w:t>
      </w:r>
    </w:p>
    <w:p w14:paraId="7774DC96">
      <w:pPr>
        <w:spacing w:line="640" w:lineRule="exact"/>
        <w:ind w:firstLine="640"/>
        <w:jc w:val="both"/>
        <w:outlineLvl w:val="2"/>
      </w:pPr>
      <w:r>
        <w:rPr>
          <w:rFonts w:ascii="黑体" w:hAnsi="黑体" w:eastAsia="黑体"/>
          <w:sz w:val="32"/>
        </w:rPr>
        <w:t>三、支出决算情况说明</w:t>
      </w:r>
    </w:p>
    <w:p w14:paraId="08AAEF2B">
      <w:pPr>
        <w:spacing w:line="580" w:lineRule="exact"/>
        <w:ind w:firstLine="640"/>
        <w:jc w:val="both"/>
      </w:pPr>
      <w:r>
        <w:rPr>
          <w:rFonts w:ascii="仿宋_GB2312" w:hAnsi="仿宋_GB2312" w:eastAsia="仿宋_GB2312"/>
          <w:b/>
          <w:sz w:val="32"/>
        </w:rPr>
        <w:t>本年支出3,627.28万元，</w:t>
      </w:r>
      <w:r>
        <w:rPr>
          <w:rFonts w:ascii="仿宋_GB2312" w:hAnsi="仿宋_GB2312" w:eastAsia="仿宋_GB2312"/>
          <w:b w:val="0"/>
          <w:sz w:val="32"/>
        </w:rPr>
        <w:t>其中：基本支出1,942.97万元，占53.57%；项目支出1,684.31万元，占46.43%；上缴上级支出0.00万元，占0.00%；经营支出0.00万元，占0.00%；对附属单位补助支出0.00万元，占0.00%。</w:t>
      </w:r>
    </w:p>
    <w:p w14:paraId="61A1AD24">
      <w:pPr>
        <w:spacing w:line="640" w:lineRule="exact"/>
        <w:ind w:firstLine="640"/>
        <w:jc w:val="both"/>
        <w:outlineLvl w:val="2"/>
      </w:pPr>
      <w:r>
        <w:rPr>
          <w:rFonts w:ascii="黑体" w:hAnsi="黑体" w:eastAsia="黑体"/>
          <w:sz w:val="32"/>
        </w:rPr>
        <w:t>四、财政拨款收入支出决算总体情况说明</w:t>
      </w:r>
    </w:p>
    <w:p w14:paraId="24DBBA5C">
      <w:pPr>
        <w:spacing w:line="580" w:lineRule="exact"/>
        <w:ind w:firstLine="640"/>
        <w:jc w:val="both"/>
      </w:pPr>
      <w:r>
        <w:rPr>
          <w:rFonts w:ascii="仿宋_GB2312" w:hAnsi="仿宋_GB2312" w:eastAsia="仿宋_GB2312"/>
          <w:b/>
          <w:sz w:val="32"/>
        </w:rPr>
        <w:t>2024年度财政拨款收入总计2,865.34万元，</w:t>
      </w:r>
      <w:r>
        <w:rPr>
          <w:rFonts w:ascii="仿宋_GB2312" w:hAnsi="仿宋_GB2312" w:eastAsia="仿宋_GB2312"/>
          <w:b w:val="0"/>
          <w:sz w:val="32"/>
        </w:rPr>
        <w:t>其中：年初财政拨款结转和结余0.00万元，本年财政拨款收入2,865.34万元。</w:t>
      </w:r>
      <w:r>
        <w:rPr>
          <w:rFonts w:ascii="仿宋_GB2312" w:hAnsi="仿宋_GB2312" w:eastAsia="仿宋_GB2312"/>
          <w:b/>
          <w:sz w:val="32"/>
        </w:rPr>
        <w:t>财政拨款支出总计2,865.34万元，</w:t>
      </w:r>
      <w:r>
        <w:rPr>
          <w:rFonts w:ascii="仿宋_GB2312" w:hAnsi="仿宋_GB2312" w:eastAsia="仿宋_GB2312"/>
          <w:b w:val="0"/>
          <w:sz w:val="32"/>
        </w:rPr>
        <w:t>其中：年末财政拨款结转和结余0.00万元，本年财政拨款支出2,865.34万元。</w:t>
      </w:r>
    </w:p>
    <w:p w14:paraId="2B77564E">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减少512.06万元，下降15.16%，主要原因是：本年减少乡村振兴示范村项目资金，临时救助项目资金，对村集体经济组织的补助等项目支出。</w:t>
      </w:r>
      <w:r>
        <w:rPr>
          <w:rFonts w:ascii="仿宋_GB2312" w:hAnsi="仿宋_GB2312" w:eastAsia="仿宋_GB2312"/>
          <w:b/>
          <w:sz w:val="32"/>
        </w:rPr>
        <w:t>与年初预算相比，</w:t>
      </w:r>
      <w:r>
        <w:rPr>
          <w:rFonts w:ascii="仿宋_GB2312" w:hAnsi="仿宋_GB2312" w:eastAsia="仿宋_GB2312"/>
          <w:b w:val="0"/>
          <w:sz w:val="32"/>
        </w:rPr>
        <w:t>年初预算数1,904.90万元，决算数2,865.34万元，预决算差异率50.42%，主要原因是：年中追加乡镇工作经费、村级运转经费、也克先拜巴扎镇设备购置项目等项目资金，导致预决算存在差异。</w:t>
      </w:r>
    </w:p>
    <w:p w14:paraId="314258A0">
      <w:pPr>
        <w:spacing w:line="640" w:lineRule="exact"/>
        <w:ind w:firstLine="640"/>
        <w:jc w:val="both"/>
        <w:outlineLvl w:val="2"/>
      </w:pPr>
      <w:r>
        <w:rPr>
          <w:rFonts w:ascii="黑体" w:hAnsi="黑体" w:eastAsia="黑体"/>
          <w:sz w:val="32"/>
        </w:rPr>
        <w:t>五、一般公共预算财政拨款支出决算情况说明</w:t>
      </w:r>
    </w:p>
    <w:p w14:paraId="0600509F">
      <w:pPr>
        <w:spacing w:line="640" w:lineRule="exact"/>
        <w:ind w:firstLine="640"/>
        <w:jc w:val="both"/>
        <w:outlineLvl w:val="3"/>
      </w:pPr>
      <w:r>
        <w:rPr>
          <w:rFonts w:ascii="楷体_GB2312" w:hAnsi="楷体_GB2312" w:eastAsia="楷体_GB2312"/>
          <w:b/>
          <w:sz w:val="32"/>
        </w:rPr>
        <w:t>（一）一般公共预算财政拨款支出决算总体情况</w:t>
      </w:r>
    </w:p>
    <w:p w14:paraId="6BB519D1">
      <w:pPr>
        <w:spacing w:line="580" w:lineRule="exact"/>
        <w:ind w:firstLine="640"/>
        <w:jc w:val="both"/>
      </w:pPr>
      <w:r>
        <w:rPr>
          <w:rFonts w:ascii="仿宋_GB2312" w:hAnsi="仿宋_GB2312" w:eastAsia="仿宋_GB2312"/>
          <w:b/>
          <w:sz w:val="32"/>
        </w:rPr>
        <w:t>2024年度一般公共预算财政拨款支出2,849.34万元，</w:t>
      </w:r>
      <w:r>
        <w:rPr>
          <w:rFonts w:ascii="仿宋_GB2312" w:hAnsi="仿宋_GB2312" w:eastAsia="仿宋_GB2312"/>
          <w:b w:val="0"/>
          <w:sz w:val="32"/>
        </w:rPr>
        <w:t>占本年支出合计的78.55%。</w:t>
      </w:r>
      <w:r>
        <w:rPr>
          <w:rFonts w:ascii="仿宋_GB2312" w:hAnsi="仿宋_GB2312" w:eastAsia="仿宋_GB2312"/>
          <w:b/>
          <w:sz w:val="32"/>
        </w:rPr>
        <w:t>与上年相比，</w:t>
      </w:r>
      <w:r>
        <w:rPr>
          <w:rFonts w:ascii="仿宋_GB2312" w:hAnsi="仿宋_GB2312" w:eastAsia="仿宋_GB2312"/>
          <w:b w:val="0"/>
          <w:sz w:val="32"/>
        </w:rPr>
        <w:t>减少526.06万元，下降15.59%，主要原因是：本年减少乡村振兴示范村项目资金，临时救助项目资金，对村集体经济组织的补助等项目支出。</w:t>
      </w:r>
      <w:r>
        <w:rPr>
          <w:rFonts w:ascii="仿宋_GB2312" w:hAnsi="仿宋_GB2312" w:eastAsia="仿宋_GB2312"/>
          <w:b/>
          <w:sz w:val="32"/>
        </w:rPr>
        <w:t>与年初预算相比,</w:t>
      </w:r>
      <w:r>
        <w:rPr>
          <w:rFonts w:ascii="仿宋_GB2312" w:hAnsi="仿宋_GB2312" w:eastAsia="仿宋_GB2312"/>
          <w:b w:val="0"/>
          <w:sz w:val="32"/>
        </w:rPr>
        <w:t>年初预算数1,888.90万元，决算数2,849.34万元，预决算差异率50.85%，主要原因是：年中追加乡镇工作经费、村级运转经费、也克先拜巴扎镇设备购置项目等项目资金，导致预决算存在差异。</w:t>
      </w:r>
    </w:p>
    <w:p w14:paraId="42B4D870">
      <w:pPr>
        <w:spacing w:line="640" w:lineRule="exact"/>
        <w:ind w:firstLine="640"/>
        <w:jc w:val="both"/>
        <w:outlineLvl w:val="3"/>
      </w:pPr>
      <w:r>
        <w:rPr>
          <w:rFonts w:ascii="楷体_GB2312" w:hAnsi="楷体_GB2312" w:eastAsia="楷体_GB2312"/>
          <w:b/>
          <w:sz w:val="32"/>
        </w:rPr>
        <w:t>（二）一般公共预算财政拨款支出决算结构情况</w:t>
      </w:r>
    </w:p>
    <w:p w14:paraId="1E4C0110">
      <w:pPr>
        <w:spacing w:line="580" w:lineRule="exact"/>
        <w:ind w:firstLine="640"/>
        <w:jc w:val="both"/>
      </w:pPr>
      <w:r>
        <w:rPr>
          <w:rFonts w:ascii="仿宋_GB2312" w:hAnsi="仿宋_GB2312" w:eastAsia="仿宋_GB2312"/>
          <w:b w:val="0"/>
          <w:sz w:val="32"/>
        </w:rPr>
        <w:t>1.一般公共服务支出(类)1,936.26万元,占67.95%。</w:t>
      </w:r>
    </w:p>
    <w:p w14:paraId="7D326920">
      <w:pPr>
        <w:spacing w:line="580" w:lineRule="exact"/>
        <w:ind w:firstLine="640"/>
        <w:jc w:val="both"/>
      </w:pPr>
      <w:r>
        <w:rPr>
          <w:rFonts w:ascii="仿宋_GB2312" w:hAnsi="仿宋_GB2312" w:eastAsia="仿宋_GB2312"/>
          <w:b w:val="0"/>
          <w:sz w:val="32"/>
        </w:rPr>
        <w:t>2.文化旅游体育与传媒支出(类)55.04万元,占1.93%。</w:t>
      </w:r>
    </w:p>
    <w:p w14:paraId="522D9B6E">
      <w:pPr>
        <w:spacing w:line="580" w:lineRule="exact"/>
        <w:ind w:firstLine="640"/>
        <w:jc w:val="both"/>
      </w:pPr>
      <w:r>
        <w:rPr>
          <w:rFonts w:ascii="仿宋_GB2312" w:hAnsi="仿宋_GB2312" w:eastAsia="仿宋_GB2312"/>
          <w:b w:val="0"/>
          <w:sz w:val="32"/>
        </w:rPr>
        <w:t>3.社会保障和就业支出(类)225.99万元,占7.93%。</w:t>
      </w:r>
    </w:p>
    <w:p w14:paraId="75172AC6">
      <w:pPr>
        <w:spacing w:line="580" w:lineRule="exact"/>
        <w:ind w:firstLine="640"/>
        <w:jc w:val="both"/>
      </w:pPr>
      <w:r>
        <w:rPr>
          <w:rFonts w:ascii="仿宋_GB2312" w:hAnsi="仿宋_GB2312" w:eastAsia="仿宋_GB2312"/>
          <w:b w:val="0"/>
          <w:sz w:val="32"/>
        </w:rPr>
        <w:t>4.卫生健康支出(类)84.05万元,占2.95%。</w:t>
      </w:r>
    </w:p>
    <w:p w14:paraId="02CE40E0">
      <w:pPr>
        <w:spacing w:line="580" w:lineRule="exact"/>
        <w:ind w:firstLine="640"/>
        <w:jc w:val="both"/>
      </w:pPr>
      <w:r>
        <w:rPr>
          <w:rFonts w:ascii="仿宋_GB2312" w:hAnsi="仿宋_GB2312" w:eastAsia="仿宋_GB2312"/>
          <w:b w:val="0"/>
          <w:sz w:val="32"/>
        </w:rPr>
        <w:t>5.农林水支出(类)389.85万元,占13.68%。</w:t>
      </w:r>
    </w:p>
    <w:p w14:paraId="6A846CD3">
      <w:pPr>
        <w:spacing w:line="580" w:lineRule="exact"/>
        <w:ind w:firstLine="640"/>
        <w:jc w:val="both"/>
      </w:pPr>
      <w:r>
        <w:rPr>
          <w:rFonts w:ascii="仿宋_GB2312" w:hAnsi="仿宋_GB2312" w:eastAsia="仿宋_GB2312"/>
          <w:b w:val="0"/>
          <w:sz w:val="32"/>
        </w:rPr>
        <w:t>6.住房保障支出(类)140.90万元,占4.95%。</w:t>
      </w:r>
    </w:p>
    <w:p w14:paraId="12D6C913">
      <w:pPr>
        <w:spacing w:line="580" w:lineRule="exact"/>
        <w:ind w:firstLine="640"/>
        <w:jc w:val="both"/>
      </w:pPr>
      <w:r>
        <w:rPr>
          <w:rFonts w:ascii="仿宋_GB2312" w:hAnsi="仿宋_GB2312" w:eastAsia="仿宋_GB2312"/>
          <w:b w:val="0"/>
          <w:sz w:val="32"/>
        </w:rPr>
        <w:t>7.其他支出(类)17.26万元,占0.61%。</w:t>
      </w:r>
    </w:p>
    <w:p w14:paraId="23D3C61A">
      <w:pPr>
        <w:spacing w:line="640" w:lineRule="exact"/>
        <w:ind w:firstLine="640"/>
        <w:jc w:val="both"/>
        <w:outlineLvl w:val="3"/>
      </w:pPr>
      <w:r>
        <w:rPr>
          <w:rFonts w:ascii="楷体_GB2312" w:hAnsi="楷体_GB2312" w:eastAsia="楷体_GB2312"/>
          <w:b/>
          <w:sz w:val="32"/>
        </w:rPr>
        <w:t>（三）一般公共预算财政拨款支出决算具体情况</w:t>
      </w:r>
    </w:p>
    <w:p w14:paraId="7C509474">
      <w:pPr>
        <w:spacing w:line="580" w:lineRule="exact"/>
        <w:ind w:firstLine="640"/>
        <w:jc w:val="both"/>
      </w:pPr>
      <w:r>
        <w:rPr>
          <w:rFonts w:ascii="仿宋_GB2312" w:hAnsi="仿宋_GB2312" w:eastAsia="仿宋_GB2312"/>
          <w:b w:val="0"/>
          <w:sz w:val="32"/>
        </w:rPr>
        <w:t>1.一般公共服务支出(类)人大事务(款)代表工作(项):支出决算数为0.07万元，比上年决算减少2.31万元，下降97.06%,主要原因是：本年减少自治区人大代表活动经费。</w:t>
      </w:r>
    </w:p>
    <w:p w14:paraId="5D56B80E">
      <w:pPr>
        <w:spacing w:line="580" w:lineRule="exact"/>
        <w:ind w:firstLine="640"/>
        <w:jc w:val="both"/>
      </w:pPr>
      <w:r>
        <w:rPr>
          <w:rFonts w:ascii="仿宋_GB2312" w:hAnsi="仿宋_GB2312" w:eastAsia="仿宋_GB2312"/>
          <w:b w:val="0"/>
          <w:sz w:val="32"/>
        </w:rPr>
        <w:t>2.一般公共服务支出(类)人大事务(款)其他人大事务支出(项):支出决算数为0.00万元，比上年决算减少1.50万元，下降100.00%,主要原因是：本年减少基层人大补助经费。</w:t>
      </w:r>
    </w:p>
    <w:p w14:paraId="6CC8ABA8">
      <w:pPr>
        <w:spacing w:line="580" w:lineRule="exact"/>
        <w:ind w:firstLine="640"/>
        <w:jc w:val="both"/>
      </w:pPr>
      <w:r>
        <w:rPr>
          <w:rFonts w:ascii="仿宋_GB2312" w:hAnsi="仿宋_GB2312" w:eastAsia="仿宋_GB2312"/>
          <w:b w:val="0"/>
          <w:sz w:val="32"/>
        </w:rPr>
        <w:t>3.一般公共服务支出(类)政府办公厅（室）及相关机构事务(款)行政运行(项):支出决算数为1,492.03万元，比上年决算减少50.45万元，下降3.27%,主要原因是：本年保安工资等相关人员经费减少。</w:t>
      </w:r>
    </w:p>
    <w:p w14:paraId="30D3B3C3">
      <w:pPr>
        <w:spacing w:line="580" w:lineRule="exact"/>
        <w:ind w:firstLine="640"/>
        <w:jc w:val="both"/>
      </w:pPr>
      <w:r>
        <w:rPr>
          <w:rFonts w:ascii="仿宋_GB2312" w:hAnsi="仿宋_GB2312" w:eastAsia="仿宋_GB2312"/>
          <w:b w:val="0"/>
          <w:sz w:val="32"/>
        </w:rPr>
        <w:t>4.一般公共服务支出(类)政府办公厅（室）及相关机构事务(款)一般行政管理事务(项):支出决算数为186.00万元，比上年决算增加142.56万元，增长328.18%,主要原因是：本年增加乡镇工作经费，村级为民办实事项目资金，经费增加。</w:t>
      </w:r>
    </w:p>
    <w:p w14:paraId="63305AF2">
      <w:pPr>
        <w:spacing w:line="580" w:lineRule="exact"/>
        <w:ind w:firstLine="640"/>
        <w:jc w:val="both"/>
      </w:pPr>
      <w:r>
        <w:rPr>
          <w:rFonts w:ascii="仿宋_GB2312" w:hAnsi="仿宋_GB2312" w:eastAsia="仿宋_GB2312"/>
          <w:b w:val="0"/>
          <w:sz w:val="32"/>
        </w:rPr>
        <w:t>5.一般公共服务支出(类)纪检监察事务(款)其他纪检监察事务支出(项):支出决算数为2.00万元，比上年决算增加0.50万元，增长33.33%,主要原因是：本年增加纪检监察机关转移支付项目资金。</w:t>
      </w:r>
    </w:p>
    <w:p w14:paraId="3F43C538">
      <w:pPr>
        <w:spacing w:line="580" w:lineRule="exact"/>
        <w:ind w:firstLine="640"/>
        <w:jc w:val="both"/>
      </w:pPr>
      <w:r>
        <w:rPr>
          <w:rFonts w:ascii="仿宋_GB2312" w:hAnsi="仿宋_GB2312" w:eastAsia="仿宋_GB2312"/>
          <w:b w:val="0"/>
          <w:sz w:val="32"/>
        </w:rPr>
        <w:t>6.一般公共服务支出(类)组织事务(款)其他组织事务支出(项):支出决算数为227.96万元，比上年决算增加27.07万元，增长13.48%,主要原因是：本年增加2023年第二批下派选调生到村任职工作补助资金，2024年原深度贫困村第一书记为民办实事项目经费。</w:t>
      </w:r>
    </w:p>
    <w:p w14:paraId="6433998D">
      <w:pPr>
        <w:spacing w:line="580" w:lineRule="exact"/>
        <w:ind w:firstLine="640"/>
        <w:jc w:val="both"/>
      </w:pPr>
      <w:r>
        <w:rPr>
          <w:rFonts w:ascii="仿宋_GB2312" w:hAnsi="仿宋_GB2312" w:eastAsia="仿宋_GB2312"/>
          <w:b w:val="0"/>
          <w:sz w:val="32"/>
        </w:rPr>
        <w:t>7.一般公共服务支出(类)统战事务(款)宗教事务(项):支出决算数为17.70万元，比上年决算增加17.70万元，增长100.00%,主要原因是：本年增加2023年活动场所大修缮项目资金。</w:t>
      </w:r>
    </w:p>
    <w:p w14:paraId="6A8E5E10">
      <w:pPr>
        <w:spacing w:line="580" w:lineRule="exact"/>
        <w:ind w:firstLine="640"/>
        <w:jc w:val="both"/>
      </w:pPr>
      <w:r>
        <w:rPr>
          <w:rFonts w:ascii="仿宋_GB2312" w:hAnsi="仿宋_GB2312" w:eastAsia="仿宋_GB2312"/>
          <w:b w:val="0"/>
          <w:sz w:val="32"/>
        </w:rPr>
        <w:t>8.一般公共服务支出(类)统战事务(款)其他统战事务支出(项):支出决算数为10.50万元，比上年决算增加6.50万元，增长162.50%,主要原因是：本年增加ZCGS工作经费。</w:t>
      </w:r>
    </w:p>
    <w:p w14:paraId="677AF007">
      <w:pPr>
        <w:spacing w:line="580" w:lineRule="exact"/>
        <w:ind w:firstLine="640"/>
        <w:jc w:val="both"/>
      </w:pPr>
      <w:r>
        <w:rPr>
          <w:rFonts w:ascii="仿宋_GB2312" w:hAnsi="仿宋_GB2312" w:eastAsia="仿宋_GB2312"/>
          <w:b w:val="0"/>
          <w:sz w:val="32"/>
        </w:rPr>
        <w:t>9.文化旅游体育与传媒支出(类)文化和旅游(款)其他文化和旅游支出(项):支出决算数为10.04万元，比上年决算减少5.04万元，下降33.42%,主要原因是：本年减少2024年中央补助地方公共文化服务体系建设补助项目。</w:t>
      </w:r>
    </w:p>
    <w:p w14:paraId="6C1FB772">
      <w:pPr>
        <w:spacing w:line="580" w:lineRule="exact"/>
        <w:ind w:firstLine="640"/>
        <w:jc w:val="both"/>
      </w:pPr>
      <w:r>
        <w:rPr>
          <w:rFonts w:ascii="仿宋_GB2312" w:hAnsi="仿宋_GB2312" w:eastAsia="仿宋_GB2312"/>
          <w:b w:val="0"/>
          <w:sz w:val="32"/>
        </w:rPr>
        <w:t>10.文化旅游体育与传媒支出(类)其他文化旅游体育与传媒支出(款)其他文化旅游体育与传媒支出(项):支出决算数为45.00万元，比上年决算增加24.96万元，增长124.55%,主要原因是：本年中央补助地方公共文化服务体系建设补助项目增加。</w:t>
      </w:r>
    </w:p>
    <w:p w14:paraId="1AE370DD">
      <w:pPr>
        <w:spacing w:line="580" w:lineRule="exact"/>
        <w:ind w:firstLine="640"/>
        <w:jc w:val="both"/>
      </w:pPr>
      <w:r>
        <w:rPr>
          <w:rFonts w:ascii="仿宋_GB2312" w:hAnsi="仿宋_GB2312" w:eastAsia="仿宋_GB2312"/>
          <w:b w:val="0"/>
          <w:sz w:val="32"/>
        </w:rPr>
        <w:t>11.社会保障和就业支出(类)行政事业单位养老支出(款)行政单位离退休(项):支出决算数为27.64万元，比上年决算增加4.95万元，增长21.82%,主要原因是：本年补发退休人员绩效，导致退休费较上年增加。</w:t>
      </w:r>
    </w:p>
    <w:p w14:paraId="6B400A89">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12.社会保障和就业支出(类)行政事业单位养老支出(款)机关事业单位基本养老保险缴费支出(项):支出决算数为176.25万元，比上年决算增加24.18万元，增长15.90%,主要原因是：本年在职人员调薪，养老保险缴费增加。</w:t>
      </w:r>
    </w:p>
    <w:p w14:paraId="1E61ED30">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支出决算数为22.09万元，比上年决算增加8.50万元，增长62.55%,主要原因是：本年新增退休人员及辞职人员较上年增加，导致职业年金缴费支出增加。</w:t>
      </w:r>
    </w:p>
    <w:p w14:paraId="504B7894">
      <w:pPr>
        <w:spacing w:line="580" w:lineRule="exact"/>
        <w:ind w:firstLine="640"/>
        <w:jc w:val="both"/>
      </w:pPr>
      <w:r>
        <w:rPr>
          <w:rFonts w:ascii="仿宋_GB2312" w:hAnsi="仿宋_GB2312" w:eastAsia="仿宋_GB2312"/>
          <w:b w:val="0"/>
          <w:sz w:val="32"/>
        </w:rPr>
        <w:t>14.社会保障和就业支出(类)临时救助(款)临时救助支出(项):支出决算数为0.00万元，比上年决算减少263.27万元，下降100.00%,主要原因是：本年减少临时救助项目资金。</w:t>
      </w:r>
    </w:p>
    <w:p w14:paraId="001FB6F7">
      <w:pPr>
        <w:spacing w:line="580" w:lineRule="exact"/>
        <w:ind w:firstLine="640"/>
        <w:jc w:val="both"/>
      </w:pPr>
      <w:r>
        <w:rPr>
          <w:rFonts w:ascii="仿宋_GB2312" w:hAnsi="仿宋_GB2312" w:eastAsia="仿宋_GB2312"/>
          <w:b w:val="0"/>
          <w:sz w:val="32"/>
        </w:rPr>
        <w:t>15.卫生健康支出(类)行政事业单位医疗(款)行政单位医疗(项):支出决算数为69.35万元，比上年决算减少4.65万元，下降6.28%,主要原因是：本年在职人员调入调出，人员职级不同，缴费基数不同，导致行政单位医疗较上年减少。</w:t>
      </w:r>
    </w:p>
    <w:p w14:paraId="09CEAF3A">
      <w:pPr>
        <w:spacing w:line="580" w:lineRule="exact"/>
        <w:ind w:firstLine="640"/>
        <w:jc w:val="both"/>
      </w:pPr>
      <w:r>
        <w:rPr>
          <w:rFonts w:ascii="仿宋_GB2312" w:hAnsi="仿宋_GB2312" w:eastAsia="仿宋_GB2312"/>
          <w:b w:val="0"/>
          <w:sz w:val="32"/>
        </w:rPr>
        <w:t>16.卫生健康支出(类)行政事业单位医疗(款)公务员医疗补助(项):支出决算数为14.70万元，比上年决算减少1.32万元，下降8.24%,主要原因是：本年在职人员调入调出，人员职级不同，缴费基数不同，导致公务员医疗补助较上年减少。</w:t>
      </w:r>
    </w:p>
    <w:p w14:paraId="5C072E17">
      <w:pPr>
        <w:spacing w:line="580" w:lineRule="exact"/>
        <w:ind w:firstLine="640"/>
        <w:jc w:val="both"/>
      </w:pPr>
      <w:r>
        <w:rPr>
          <w:rFonts w:ascii="仿宋_GB2312" w:hAnsi="仿宋_GB2312" w:eastAsia="仿宋_GB2312"/>
          <w:b w:val="0"/>
          <w:sz w:val="32"/>
        </w:rPr>
        <w:t>17.农林水支出(类)巩固脱贫攻坚成果衔接乡村振兴(款)农村基础设施建设(项):支出决算数为0.00万元，比上年决算减少792.18万元，下降100.00%,主要原因是：本年减少乡村振兴示范村建设项目和新型农村集体经济项目。</w:t>
      </w:r>
    </w:p>
    <w:p w14:paraId="1C37569C">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18.农林水支出(类)巩固脱贫攻坚成果衔接乡村振兴(款)生产发展(项):支出决算数为240.00万元，比上年决算增加240.00万元，增长100.00%,主要原因是：本年增加2024年也克先拜巴扎镇设备购置项目。</w:t>
      </w:r>
    </w:p>
    <w:p w14:paraId="38F58F05">
      <w:pPr>
        <w:spacing w:line="580" w:lineRule="exact"/>
        <w:ind w:firstLine="640"/>
        <w:jc w:val="both"/>
      </w:pPr>
      <w:r>
        <w:rPr>
          <w:rFonts w:ascii="仿宋_GB2312" w:hAnsi="仿宋_GB2312" w:eastAsia="仿宋_GB2312"/>
          <w:b w:val="0"/>
          <w:sz w:val="32"/>
        </w:rPr>
        <w:t>19.农林水支出(类)农村综合改革(款)对村级公益事业建设的补助(项):支出决算数为149.85万元，比上年决算增加149.85万元，增长100.00%,主要原因是：本年增加2024年中央农村综合改革转移支付项目。</w:t>
      </w:r>
    </w:p>
    <w:p w14:paraId="4F53C93E">
      <w:pPr>
        <w:spacing w:line="580" w:lineRule="exact"/>
        <w:ind w:firstLine="640"/>
        <w:jc w:val="both"/>
      </w:pPr>
      <w:r>
        <w:rPr>
          <w:rFonts w:ascii="仿宋_GB2312" w:hAnsi="仿宋_GB2312" w:eastAsia="仿宋_GB2312"/>
          <w:b w:val="0"/>
          <w:sz w:val="32"/>
        </w:rPr>
        <w:t>20.住房保障支出(类)住房改革支出(款)住房公积金(项):支出决算数为140.90万元，比上年决算增加20.14万元，增长16.68%,主要原因是：本年在职人员调薪，住房公积金缴费增加。</w:t>
      </w:r>
    </w:p>
    <w:p w14:paraId="705FA5F9">
      <w:pPr>
        <w:spacing w:line="580" w:lineRule="exact"/>
        <w:ind w:firstLine="640"/>
        <w:jc w:val="both"/>
      </w:pPr>
      <w:r>
        <w:rPr>
          <w:rFonts w:ascii="仿宋_GB2312" w:hAnsi="仿宋_GB2312" w:eastAsia="仿宋_GB2312"/>
          <w:b w:val="0"/>
          <w:sz w:val="32"/>
        </w:rPr>
        <w:t>21.其他支出(类)其他支出(款)其他支出(项):支出决算数为17.26万元，比上年决算减少72.26万元，下降80.72%,主要原因是：本年减少岳普湖县2023年村级活动场所建设项目资金。</w:t>
      </w:r>
    </w:p>
    <w:p w14:paraId="1A1A83A3">
      <w:pPr>
        <w:spacing w:line="640" w:lineRule="exact"/>
        <w:ind w:firstLine="640"/>
        <w:jc w:val="both"/>
        <w:outlineLvl w:val="2"/>
      </w:pPr>
      <w:r>
        <w:rPr>
          <w:rFonts w:ascii="黑体" w:hAnsi="黑体" w:eastAsia="黑体"/>
          <w:sz w:val="32"/>
        </w:rPr>
        <w:t>六、一般公共预算财政拨款基本支出决算情况说明</w:t>
      </w:r>
    </w:p>
    <w:p w14:paraId="078CAF92">
      <w:pPr>
        <w:spacing w:line="580" w:lineRule="exact"/>
        <w:ind w:firstLine="640"/>
        <w:jc w:val="both"/>
      </w:pPr>
      <w:r>
        <w:rPr>
          <w:rFonts w:ascii="仿宋_GB2312" w:hAnsi="仿宋_GB2312" w:eastAsia="仿宋_GB2312"/>
          <w:b w:val="0"/>
          <w:sz w:val="32"/>
        </w:rPr>
        <w:t>2024年度一般公共预算财政拨款基本支出1,942.97万元，其中：</w:t>
      </w:r>
      <w:r>
        <w:rPr>
          <w:rFonts w:ascii="仿宋_GB2312" w:hAnsi="仿宋_GB2312" w:eastAsia="仿宋_GB2312"/>
          <w:b/>
          <w:sz w:val="32"/>
        </w:rPr>
        <w:t>人员经费1,888.56万元，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w:t>
      </w:r>
    </w:p>
    <w:p w14:paraId="703A20A3">
      <w:pPr>
        <w:spacing w:line="580" w:lineRule="exact"/>
        <w:ind w:firstLine="640"/>
        <w:jc w:val="both"/>
      </w:pPr>
      <w:r>
        <w:rPr>
          <w:rFonts w:ascii="仿宋_GB2312" w:hAnsi="仿宋_GB2312" w:eastAsia="仿宋_GB2312"/>
          <w:b/>
          <w:sz w:val="32"/>
        </w:rPr>
        <w:t>公用经费54.41万元，</w:t>
      </w:r>
      <w:r>
        <w:rPr>
          <w:rFonts w:ascii="仿宋_GB2312" w:hAnsi="仿宋_GB2312" w:eastAsia="仿宋_GB2312"/>
          <w:b w:val="0"/>
          <w:sz w:val="32"/>
        </w:rPr>
        <w:t>包括：办公费、水费、电费、邮电费、公务用车运行维护费、公务用车购置。</w:t>
      </w:r>
    </w:p>
    <w:p w14:paraId="0D03FC4C">
      <w:pPr>
        <w:spacing w:line="640" w:lineRule="exact"/>
        <w:ind w:firstLine="640"/>
        <w:jc w:val="both"/>
        <w:outlineLvl w:val="2"/>
      </w:pPr>
      <w:r>
        <w:rPr>
          <w:rFonts w:ascii="黑体" w:hAnsi="黑体" w:eastAsia="黑体"/>
          <w:sz w:val="32"/>
        </w:rPr>
        <w:t>七、政府性基金预算财政拨款收入支出决算情况说明</w:t>
      </w:r>
    </w:p>
    <w:p w14:paraId="18C0C19A">
      <w:pPr>
        <w:spacing w:line="580" w:lineRule="exact"/>
        <w:ind w:firstLine="640"/>
        <w:jc w:val="both"/>
      </w:pPr>
      <w:r>
        <w:rPr>
          <w:rFonts w:ascii="仿宋_GB2312" w:hAnsi="仿宋_GB2312" w:eastAsia="仿宋_GB2312"/>
          <w:b/>
          <w:sz w:val="32"/>
        </w:rPr>
        <w:t>2024年度政府性基金预算财政拨款收入总计16.00万元，</w:t>
      </w:r>
      <w:r>
        <w:rPr>
          <w:rFonts w:ascii="仿宋_GB2312" w:hAnsi="仿宋_GB2312" w:eastAsia="仿宋_GB2312"/>
          <w:b w:val="0"/>
          <w:sz w:val="32"/>
        </w:rPr>
        <w:t>其中：年初结转和结余0.00万元，本年收入16.00万元。</w:t>
      </w:r>
      <w:r>
        <w:rPr>
          <w:rFonts w:ascii="仿宋_GB2312" w:hAnsi="仿宋_GB2312" w:eastAsia="仿宋_GB2312"/>
          <w:b/>
          <w:sz w:val="32"/>
        </w:rPr>
        <w:t>政府性基金预算财政拨款支出总计16.00万元，</w:t>
      </w:r>
      <w:r>
        <w:rPr>
          <w:rFonts w:ascii="仿宋_GB2312" w:hAnsi="仿宋_GB2312" w:eastAsia="仿宋_GB2312"/>
          <w:b w:val="0"/>
          <w:sz w:val="32"/>
        </w:rPr>
        <w:t>其中：年末结转和结余0.00万元，本年支出16.00万元。</w:t>
      </w:r>
    </w:p>
    <w:p w14:paraId="4EF5BDB2">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增加14.00万元，增长700.00%，主要原因是：新增福利彩票公益金支持社会组织参与基层社会治理项目。</w:t>
      </w:r>
      <w:r>
        <w:rPr>
          <w:rFonts w:ascii="仿宋_GB2312" w:hAnsi="仿宋_GB2312" w:eastAsia="仿宋_GB2312"/>
          <w:b/>
          <w:sz w:val="32"/>
        </w:rPr>
        <w:t>与年初预算相比，</w:t>
      </w:r>
      <w:r>
        <w:rPr>
          <w:rFonts w:ascii="仿宋_GB2312" w:hAnsi="仿宋_GB2312" w:eastAsia="仿宋_GB2312"/>
          <w:b w:val="0"/>
          <w:sz w:val="32"/>
        </w:rPr>
        <w:t>年初预算数16.00万元，决算数16.00万元，预决算差异率0.00%，主要原因是：严格按照预算执行，预决算无差异。</w:t>
      </w:r>
    </w:p>
    <w:p w14:paraId="5ED097C9">
      <w:pPr>
        <w:spacing w:line="580" w:lineRule="exact"/>
        <w:ind w:firstLine="640"/>
        <w:jc w:val="both"/>
      </w:pPr>
      <w:r>
        <w:rPr>
          <w:rFonts w:ascii="仿宋_GB2312" w:hAnsi="仿宋_GB2312" w:eastAsia="仿宋_GB2312"/>
          <w:b w:val="0"/>
          <w:sz w:val="32"/>
        </w:rPr>
        <w:t>政府性基金预算财政拨款支出16.00万元。</w:t>
      </w:r>
    </w:p>
    <w:p w14:paraId="64E07FDD">
      <w:pPr>
        <w:spacing w:line="580" w:lineRule="exact"/>
        <w:ind w:firstLine="640"/>
        <w:jc w:val="both"/>
      </w:pPr>
      <w:r>
        <w:rPr>
          <w:rFonts w:ascii="仿宋_GB2312" w:hAnsi="仿宋_GB2312" w:eastAsia="仿宋_GB2312"/>
          <w:b w:val="0"/>
          <w:sz w:val="32"/>
        </w:rPr>
        <w:t>1.其他支出(类)彩票公益金安排的支出(款)用于社会福利的彩票公益金支出(项):支出决算数为16.00万元，比上年决算增加16.00万元，增长100.00%,主要原因是：本年新增福利彩票公益金支持社会组织参与基层社会治理项目。</w:t>
      </w:r>
    </w:p>
    <w:p w14:paraId="35F6790A">
      <w:pPr>
        <w:spacing w:line="580" w:lineRule="exact"/>
        <w:ind w:firstLine="640"/>
        <w:jc w:val="both"/>
      </w:pPr>
      <w:r>
        <w:rPr>
          <w:rFonts w:ascii="仿宋_GB2312" w:hAnsi="仿宋_GB2312" w:eastAsia="仿宋_GB2312"/>
          <w:b w:val="0"/>
          <w:sz w:val="32"/>
        </w:rPr>
        <w:t>2.其他支出(类)彩票公益金安排的支出(款)用于体育事业的彩票公益金支出(项):支出决算数为0.00万元，比上年决算减少2.00万元，下降100.00%,主要原因是：本年减少2023年彩票公益金支持体育事业发展项目。</w:t>
      </w:r>
    </w:p>
    <w:p w14:paraId="68E2162A">
      <w:pPr>
        <w:spacing w:line="640" w:lineRule="exact"/>
        <w:ind w:firstLine="640"/>
        <w:jc w:val="both"/>
        <w:outlineLvl w:val="2"/>
      </w:pPr>
      <w:r>
        <w:rPr>
          <w:rFonts w:ascii="黑体" w:hAnsi="黑体" w:eastAsia="黑体"/>
          <w:sz w:val="32"/>
        </w:rPr>
        <w:t>八、国有资本经营预算财政拨款收入支出决算情况说明</w:t>
      </w:r>
    </w:p>
    <w:p w14:paraId="6B7442D6">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FE378A6">
      <w:pPr>
        <w:spacing w:line="640" w:lineRule="exact"/>
        <w:ind w:firstLine="640"/>
        <w:jc w:val="both"/>
        <w:outlineLvl w:val="2"/>
      </w:pPr>
      <w:r>
        <w:rPr>
          <w:rFonts w:ascii="黑体" w:hAnsi="黑体" w:eastAsia="黑体"/>
          <w:sz w:val="32"/>
        </w:rPr>
        <w:t>九、财政拨款“三公”经费支出决算情况说明</w:t>
      </w:r>
    </w:p>
    <w:p w14:paraId="7A313BA0">
      <w:pPr>
        <w:spacing w:line="580" w:lineRule="exact"/>
        <w:ind w:firstLine="640"/>
        <w:jc w:val="both"/>
      </w:pPr>
      <w:r>
        <w:rPr>
          <w:rFonts w:ascii="仿宋_GB2312" w:hAnsi="仿宋_GB2312" w:eastAsia="仿宋_GB2312"/>
          <w:b/>
          <w:sz w:val="32"/>
        </w:rPr>
        <w:t>2024年度财政拨款“三公”经费支出22.17万元，</w:t>
      </w:r>
      <w:r>
        <w:rPr>
          <w:rFonts w:ascii="仿宋_GB2312" w:hAnsi="仿宋_GB2312" w:eastAsia="仿宋_GB2312"/>
          <w:b w:val="0"/>
          <w:sz w:val="32"/>
        </w:rPr>
        <w:t>比上年增加17.01万元，增长329.65%，主要原因是：本年车辆使用次数增加，加油费、维修维护费增加，公务用车运行维护费增加。其中：因公出国（境）费支出0.00万元，占0.00%，比上年增加0.00万元，增长0.00%，主要原因是：2023年与2024年均未安排因公出国（境）费支出。公务用车购置及运行维护费支出22.17万元，占100.00%，比上年增加17.01万元，增长329.65%，主要原因是：本年车辆使用次数增加，加油费、维修维护费增加，公务用车运行维护费增加。公务接待费支出0.00万元，占0.00%，比上年增加0.00万元，增长0.00%，主要原因是：2023年与2024年均未安排公务接待费支出。</w:t>
      </w:r>
    </w:p>
    <w:p w14:paraId="6B331A4C">
      <w:pPr>
        <w:spacing w:line="580" w:lineRule="exact"/>
        <w:ind w:firstLine="640"/>
        <w:jc w:val="both"/>
      </w:pPr>
      <w:r>
        <w:rPr>
          <w:rFonts w:ascii="仿宋_GB2312" w:hAnsi="仿宋_GB2312" w:eastAsia="仿宋_GB2312"/>
          <w:b/>
          <w:sz w:val="32"/>
        </w:rPr>
        <w:t>具体情况如下：</w:t>
      </w:r>
    </w:p>
    <w:p w14:paraId="225578A8">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21B802D">
      <w:pPr>
        <w:spacing w:line="580" w:lineRule="exact"/>
        <w:ind w:firstLine="640"/>
        <w:jc w:val="both"/>
      </w:pPr>
      <w:r>
        <w:rPr>
          <w:rFonts w:ascii="仿宋_GB2312" w:hAnsi="仿宋_GB2312" w:eastAsia="仿宋_GB2312"/>
          <w:b w:val="0"/>
          <w:sz w:val="32"/>
        </w:rPr>
        <w:t>公务用车购置及运行维护费22.17万元，其中：公务用车购置费15.68万元，公务用车运行维护费6.49万元。公务用车运行维护费开支内容包括公务用车加油费、维修费和保险费。公务用车购置数1辆，公务用车保有量18辆。国有资产占用情况中固定资产车辆18辆，与公务用车保有量差异原因是：本单位固定资产车辆与公务用车保有量一致无差异。</w:t>
      </w:r>
    </w:p>
    <w:p w14:paraId="180FF8C5">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3BD9541">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22.17万元，决算数22.17万元，预决算差异率0.00%，主要原因是：严格按照预算执行，预决算无差异。其中：因公出国（境）费全年预算数0.00万元，决算数0.00万元，预决算差异率0.00%，主要原因是：本单位无因公出国（境）费。公务用车购置费全年预算数15.68万元，决算数15.68万元，预决算差异率0.00%，主要原因是：严格按照预算执行，预决算无差异。公务用车运行维护费全年预算数6.49万元，决算数6.49万元，预决算差异率0.00%，主要原因是：严格按照预算执行，预决算无差异。公务接待费全年预算数0.00万元，决算数0.00万元，预决算差异率0.00%，主要原因是：本单位无公务接待费。</w:t>
      </w:r>
    </w:p>
    <w:p w14:paraId="3BF83CD3">
      <w:pPr>
        <w:spacing w:line="640" w:lineRule="exact"/>
        <w:ind w:firstLine="640"/>
        <w:jc w:val="both"/>
        <w:outlineLvl w:val="2"/>
      </w:pPr>
      <w:r>
        <w:rPr>
          <w:rFonts w:ascii="黑体" w:hAnsi="黑体" w:eastAsia="黑体"/>
          <w:sz w:val="32"/>
        </w:rPr>
        <w:t>十、其他重要事项的情况说明</w:t>
      </w:r>
    </w:p>
    <w:p w14:paraId="7724D6A0">
      <w:pPr>
        <w:spacing w:line="640" w:lineRule="exact"/>
        <w:ind w:firstLine="640"/>
        <w:jc w:val="both"/>
        <w:outlineLvl w:val="3"/>
      </w:pPr>
      <w:r>
        <w:rPr>
          <w:rFonts w:ascii="楷体_GB2312" w:hAnsi="楷体_GB2312" w:eastAsia="楷体_GB2312"/>
          <w:b/>
          <w:sz w:val="32"/>
        </w:rPr>
        <w:t>（一）机关运行经费及公用经费支出情况</w:t>
      </w:r>
    </w:p>
    <w:p w14:paraId="7DCFE342">
      <w:pPr>
        <w:spacing w:line="580" w:lineRule="exact"/>
        <w:ind w:firstLine="640"/>
        <w:jc w:val="both"/>
      </w:pPr>
      <w:r>
        <w:rPr>
          <w:rFonts w:ascii="仿宋_GB2312" w:hAnsi="仿宋_GB2312" w:eastAsia="仿宋_GB2312"/>
          <w:b w:val="0"/>
          <w:sz w:val="32"/>
        </w:rPr>
        <w:t>2024年度岳普湖县也克先拜巴扎镇人民政府（行政单位和参照公务员法管理事业单位）机关运行经费支出54.41万元，比上年增加16.47万元，增长43.41%，主要原因是：本年增加公务用车购置费。</w:t>
      </w:r>
    </w:p>
    <w:p w14:paraId="16BBEA73">
      <w:pPr>
        <w:spacing w:line="640" w:lineRule="exact"/>
        <w:ind w:firstLine="640"/>
        <w:jc w:val="both"/>
        <w:outlineLvl w:val="3"/>
      </w:pPr>
      <w:r>
        <w:rPr>
          <w:rFonts w:ascii="楷体_GB2312" w:hAnsi="楷体_GB2312" w:eastAsia="楷体_GB2312"/>
          <w:b/>
          <w:sz w:val="32"/>
        </w:rPr>
        <w:t>（二）政府采购情况</w:t>
      </w:r>
    </w:p>
    <w:p w14:paraId="01E789F6">
      <w:pPr>
        <w:spacing w:line="580" w:lineRule="exact"/>
        <w:ind w:firstLine="640"/>
        <w:jc w:val="both"/>
      </w:pPr>
      <w:r>
        <w:rPr>
          <w:rFonts w:ascii="仿宋_GB2312" w:hAnsi="仿宋_GB2312" w:eastAsia="仿宋_GB2312"/>
          <w:b w:val="0"/>
          <w:sz w:val="32"/>
        </w:rPr>
        <w:t>2024年度政府采购支出总额312.11万元，其中：政府采购货物支出310.12万元、政府采购工程支出0.00万元、政府采购服务支出1.99万元。</w:t>
      </w:r>
    </w:p>
    <w:p w14:paraId="682DA1EF">
      <w:pPr>
        <w:spacing w:line="580" w:lineRule="exact"/>
        <w:ind w:firstLine="640"/>
        <w:jc w:val="both"/>
      </w:pPr>
      <w:r>
        <w:rPr>
          <w:rFonts w:ascii="仿宋_GB2312" w:hAnsi="仿宋_GB2312" w:eastAsia="仿宋_GB2312"/>
          <w:b w:val="0"/>
          <w:sz w:val="32"/>
        </w:rPr>
        <w:t>授予中小企业合同金额18.41万元，占政府采购支出总额的5.90%，其中：授予小微企业合同金额2.73万元，占政府采购支出总额的0.87%。</w:t>
      </w:r>
    </w:p>
    <w:p w14:paraId="64B514DF">
      <w:pPr>
        <w:spacing w:line="640" w:lineRule="exact"/>
        <w:ind w:firstLine="640"/>
        <w:jc w:val="both"/>
        <w:outlineLvl w:val="3"/>
      </w:pPr>
      <w:r>
        <w:rPr>
          <w:rFonts w:ascii="楷体_GB2312" w:hAnsi="楷体_GB2312" w:eastAsia="楷体_GB2312"/>
          <w:b/>
          <w:sz w:val="32"/>
        </w:rPr>
        <w:t>（三）国有资产占用情况说明</w:t>
      </w:r>
    </w:p>
    <w:p w14:paraId="731C6A56">
      <w:pPr>
        <w:spacing w:line="580" w:lineRule="exact"/>
        <w:ind w:firstLine="640"/>
        <w:jc w:val="both"/>
      </w:pPr>
      <w:r>
        <w:rPr>
          <w:rFonts w:ascii="仿宋_GB2312" w:hAnsi="仿宋_GB2312" w:eastAsia="仿宋_GB2312"/>
          <w:b w:val="0"/>
          <w:sz w:val="32"/>
        </w:rPr>
        <w:t>截至2024年12月31日，房屋7,514.74平方米，价值1,439.00万元。车辆18辆，价值103.36万元，其中：副部（省）级及以上领导用车0辆、主要负责人用车0辆、机要通信用车0辆、应急保障用车0辆、执法执勤用车0辆、特种专业技术用车0辆、离退休干部服务用车0辆、其他用车18辆，其他用车主要是：一般公务用车。单价100万元（含）以上设备（不含车辆）0台（套）。</w:t>
      </w:r>
    </w:p>
    <w:p w14:paraId="4B92C9A9">
      <w:pPr>
        <w:spacing w:line="640" w:lineRule="exact"/>
        <w:ind w:firstLine="640"/>
        <w:jc w:val="both"/>
        <w:outlineLvl w:val="2"/>
      </w:pPr>
      <w:r>
        <w:rPr>
          <w:rFonts w:ascii="黑体" w:hAnsi="黑体" w:eastAsia="黑体"/>
          <w:sz w:val="32"/>
        </w:rPr>
        <w:t>十一、预算绩效的情况说明</w:t>
      </w:r>
    </w:p>
    <w:p w14:paraId="79B478D7">
      <w:pPr>
        <w:spacing w:line="580" w:lineRule="exact"/>
        <w:ind w:firstLine="640"/>
        <w:jc w:val="both"/>
      </w:pPr>
      <w:r>
        <w:rPr>
          <w:rFonts w:ascii="仿宋_GB2312" w:hAnsi="仿宋_GB2312" w:eastAsia="仿宋_GB2312"/>
          <w:b w:val="0"/>
          <w:sz w:val="32"/>
        </w:rPr>
        <w:t>根据预算绩效管理要求，本单位2024年度预算绩效管理形成整体支出绩效自</w:t>
      </w:r>
      <w:bookmarkStart w:id="0" w:name="_GoBack"/>
      <w:r>
        <w:rPr>
          <w:rFonts w:ascii="仿宋_GB2312" w:hAnsi="仿宋_GB2312" w:eastAsia="仿宋_GB2312"/>
          <w:b w:val="0"/>
          <w:sz w:val="32"/>
        </w:rPr>
        <w:t>评表1个，全年预算总额3,627.28万元，实际执行总额3,627.28万元；预算绩效评价项目5个，全年预算数896.52万元，全年执行数896.52万元。预算绩效管理取得的</w:t>
      </w:r>
      <w:bookmarkEnd w:id="0"/>
      <w:r>
        <w:rPr>
          <w:rFonts w:ascii="仿宋_GB2312" w:hAnsi="仿宋_GB2312" w:eastAsia="仿宋_GB2312"/>
          <w:b w:val="0"/>
          <w:sz w:val="32"/>
        </w:rPr>
        <w:t>成效：严格按照相关的专项资金管理办法，实行多重审批控制专项经费的支出。项目根据实际情况做出合理预算，支出严格控制在预算范围内，本着节约成本，防止资源浪费的原则将项目成效最大化。发现的问题及原因：部分业务人员绩效管理意识有待增强，未能全面深入认识理解绩效管理工作的意义。绩效管理经验不足，预算绩效管理工作有待进一步落实。绩效指标的明确性、可衡量性、相关性还需进一步提升。预算精细化管理还需完善，预算编制管理水平仍有进一步提升的空间。下一步改进措施：加大绩效工作宣传力度，强化绩效理念。完善绩效指标，提高整体绩效目标质量。提升预算精细化管理水平。继续完善预算绩效管理相关工作制度，建立全过程预算绩效管理链条，有效贯彻落实全面实施绩效管理的精神。具体附整体支出绩效自评表，项目支出绩效自评表和评价报告。</w:t>
      </w:r>
    </w:p>
    <w:p w14:paraId="5866241A">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14:paraId="6ABA7F64">
        <w:tblPrEx>
          <w:tblCellMar>
            <w:top w:w="0" w:type="dxa"/>
            <w:left w:w="108" w:type="dxa"/>
            <w:bottom w:w="0" w:type="dxa"/>
            <w:right w:w="108" w:type="dxa"/>
          </w:tblCellMar>
        </w:tblPrEx>
        <w:tc>
          <w:tcPr>
            <w:tcW w:w="8847" w:type="dxa"/>
            <w:gridSpan w:val="9"/>
            <w:vAlign w:val="center"/>
          </w:tcPr>
          <w:p w14:paraId="36BD9CA8">
            <w:pPr>
              <w:jc w:val="center"/>
            </w:pPr>
            <w:r>
              <w:rPr>
                <w:rFonts w:ascii="宋体" w:hAnsi="宋体" w:eastAsia="宋体"/>
                <w:sz w:val="24"/>
              </w:rPr>
              <w:t>单位整体支出绩效自评表</w:t>
            </w:r>
          </w:p>
        </w:tc>
      </w:tr>
      <w:tr w14:paraId="044F148B">
        <w:tblPrEx>
          <w:tblCellMar>
            <w:top w:w="0" w:type="dxa"/>
            <w:left w:w="108" w:type="dxa"/>
            <w:bottom w:w="0" w:type="dxa"/>
            <w:right w:w="108" w:type="dxa"/>
          </w:tblCellMar>
        </w:tblPrEx>
        <w:tc>
          <w:tcPr>
            <w:tcW w:w="8847" w:type="dxa"/>
            <w:gridSpan w:val="9"/>
            <w:vAlign w:val="center"/>
          </w:tcPr>
          <w:p w14:paraId="59957594">
            <w:pPr>
              <w:jc w:val="center"/>
            </w:pPr>
            <w:r>
              <w:rPr>
                <w:rFonts w:ascii="宋体" w:hAnsi="宋体" w:eastAsia="宋体"/>
                <w:sz w:val="24"/>
              </w:rPr>
              <w:t>（2024年度）</w:t>
            </w:r>
          </w:p>
        </w:tc>
      </w:tr>
      <w:tr w14:paraId="5F79E641">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4DD2F0">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14:paraId="11D5F72D">
            <w:pPr>
              <w:jc w:val="center"/>
            </w:pPr>
            <w:r>
              <w:rPr>
                <w:rFonts w:ascii="宋体" w:hAnsi="宋体" w:eastAsia="宋体"/>
                <w:sz w:val="16"/>
              </w:rPr>
              <w:t>岳普湖县也克先拜巴扎镇人民政府</w:t>
            </w:r>
          </w:p>
        </w:tc>
      </w:tr>
      <w:tr w14:paraId="4AE2E277">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6D6BC2">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F1C434">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F20265">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08CAA8B">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C625ACA">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49F2A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334877">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E8D499">
            <w:pPr>
              <w:jc w:val="center"/>
            </w:pPr>
            <w:r>
              <w:rPr>
                <w:rFonts w:ascii="宋体" w:hAnsi="宋体" w:eastAsia="宋体"/>
                <w:sz w:val="16"/>
              </w:rPr>
              <w:t>得分</w:t>
            </w:r>
          </w:p>
        </w:tc>
      </w:tr>
      <w:tr w14:paraId="5EC80813">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47B54B46"/>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D6960E1">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E2E55C3">
            <w:pPr>
              <w:jc w:val="center"/>
            </w:pPr>
            <w:r>
              <w:rPr>
                <w:rFonts w:ascii="宋体" w:hAnsi="宋体" w:eastAsia="宋体"/>
                <w:sz w:val="16"/>
              </w:rPr>
              <w:t>1,904.90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5845999">
            <w:pPr>
              <w:jc w:val="center"/>
            </w:pPr>
            <w:r>
              <w:rPr>
                <w:rFonts w:ascii="宋体" w:hAnsi="宋体" w:eastAsia="宋体"/>
                <w:sz w:val="16"/>
              </w:rPr>
              <w:t>3,627.28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61567C3">
            <w:pPr>
              <w:jc w:val="center"/>
            </w:pPr>
            <w:r>
              <w:rPr>
                <w:rFonts w:ascii="宋体" w:hAnsi="宋体" w:eastAsia="宋体"/>
                <w:sz w:val="16"/>
              </w:rPr>
              <w:t>3,627.28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D1792F">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BD0405">
            <w:pPr>
              <w:jc w:val="center"/>
            </w:pPr>
            <w:r>
              <w:rPr>
                <w:rFonts w:ascii="宋体" w:hAnsi="宋体" w:eastAsia="宋体"/>
                <w:sz w:val="16"/>
              </w:rPr>
              <w:t>100.00%</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10E768">
            <w:pPr>
              <w:jc w:val="center"/>
            </w:pPr>
            <w:r>
              <w:rPr>
                <w:rFonts w:ascii="宋体" w:hAnsi="宋体" w:eastAsia="宋体"/>
                <w:sz w:val="16"/>
              </w:rPr>
              <w:t>10</w:t>
            </w:r>
          </w:p>
        </w:tc>
      </w:tr>
      <w:tr w14:paraId="61B311B5">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87C5BBB"/>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B2F5413">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5FD3F10">
            <w:pPr>
              <w:jc w:val="center"/>
            </w:pPr>
            <w:r>
              <w:rPr>
                <w:rFonts w:ascii="宋体" w:hAnsi="宋体" w:eastAsia="宋体"/>
                <w:sz w:val="16"/>
              </w:rPr>
              <w:t>98.15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6E801D4">
            <w:pPr>
              <w:jc w:val="center"/>
            </w:pPr>
            <w:r>
              <w:rPr>
                <w:rFonts w:ascii="宋体" w:hAnsi="宋体" w:eastAsia="宋体"/>
                <w:sz w:val="16"/>
              </w:rPr>
              <w:t>842.41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A533C08">
            <w:pPr>
              <w:jc w:val="center"/>
            </w:pPr>
            <w:r>
              <w:rPr>
                <w:rFonts w:ascii="宋体" w:hAnsi="宋体" w:eastAsia="宋体"/>
                <w:sz w:val="16"/>
              </w:rPr>
              <w:t>842.41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47B407">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EC0D51B">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DFD23D">
            <w:pPr>
              <w:jc w:val="center"/>
            </w:pPr>
            <w:r>
              <w:rPr>
                <w:rFonts w:ascii="宋体" w:hAnsi="宋体" w:eastAsia="宋体"/>
                <w:sz w:val="16"/>
              </w:rPr>
              <w:t>—</w:t>
            </w:r>
          </w:p>
        </w:tc>
      </w:tr>
      <w:tr w14:paraId="77AA886B">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8681D5C"/>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B7FB724">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8B29275">
            <w:pPr>
              <w:jc w:val="center"/>
            </w:pPr>
            <w:r>
              <w:rPr>
                <w:rFonts w:ascii="宋体" w:hAnsi="宋体" w:eastAsia="宋体"/>
                <w:sz w:val="16"/>
              </w:rPr>
              <w:t>1,806.75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848FDE">
            <w:pPr>
              <w:jc w:val="center"/>
            </w:pPr>
            <w:r>
              <w:rPr>
                <w:rFonts w:ascii="宋体" w:hAnsi="宋体" w:eastAsia="宋体"/>
                <w:sz w:val="16"/>
              </w:rPr>
              <w:t>2,202.93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F1122A6">
            <w:pPr>
              <w:jc w:val="center"/>
            </w:pPr>
            <w:r>
              <w:rPr>
                <w:rFonts w:ascii="宋体" w:hAnsi="宋体" w:eastAsia="宋体"/>
                <w:sz w:val="16"/>
              </w:rPr>
              <w:t>2,202.93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BDFFE96">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64AC7E">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225739">
            <w:pPr>
              <w:jc w:val="center"/>
            </w:pPr>
            <w:r>
              <w:rPr>
                <w:rFonts w:ascii="宋体" w:hAnsi="宋体" w:eastAsia="宋体"/>
                <w:sz w:val="16"/>
              </w:rPr>
              <w:t>—</w:t>
            </w:r>
          </w:p>
        </w:tc>
      </w:tr>
      <w:tr w14:paraId="35FC484C">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A0DB99"/>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F033427">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6977D0A">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4A9F6D">
            <w:pPr>
              <w:jc w:val="center"/>
            </w:pPr>
            <w:r>
              <w:rPr>
                <w:rFonts w:ascii="宋体" w:hAnsi="宋体" w:eastAsia="宋体"/>
                <w:sz w:val="16"/>
              </w:rPr>
              <w:t>581.94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14F960F">
            <w:pPr>
              <w:jc w:val="center"/>
            </w:pPr>
            <w:r>
              <w:rPr>
                <w:rFonts w:ascii="宋体" w:hAnsi="宋体" w:eastAsia="宋体"/>
                <w:sz w:val="16"/>
              </w:rPr>
              <w:t>581.94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5F41F7E">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0FF6270">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637123">
            <w:pPr>
              <w:jc w:val="center"/>
            </w:pPr>
            <w:r>
              <w:rPr>
                <w:rFonts w:ascii="宋体" w:hAnsi="宋体" w:eastAsia="宋体"/>
                <w:sz w:val="16"/>
              </w:rPr>
              <w:t>—</w:t>
            </w:r>
          </w:p>
        </w:tc>
      </w:tr>
      <w:tr w14:paraId="2DA1538F">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E0DEF1">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7FF21FA">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C23A048">
            <w:pPr>
              <w:jc w:val="center"/>
            </w:pPr>
            <w:r>
              <w:rPr>
                <w:rFonts w:ascii="宋体" w:hAnsi="宋体" w:eastAsia="宋体"/>
                <w:sz w:val="16"/>
              </w:rPr>
              <w:t>实际完成情况</w:t>
            </w:r>
          </w:p>
        </w:tc>
      </w:tr>
      <w:tr w14:paraId="38863DF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52427070"/>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0449DE3">
            <w:pPr>
              <w:jc w:val="both"/>
            </w:pPr>
            <w:r>
              <w:rPr>
                <w:rFonts w:ascii="宋体" w:hAnsi="宋体" w:eastAsia="宋体"/>
                <w:sz w:val="16"/>
              </w:rPr>
              <w:t>推进乡村振兴村级数量14个，全力抓好脱贫攻坚与乡村振兴有效衔接工作。完成基层党组织建设，不断夯实党的执政基础，培养更多高素质专业化干部，保障加强党的基层组织和农村基层政权建设以及农村社会主义民主政治和法治建设。按期完成民族团结宣传教育工作，铸牢中华民族共同体意识。按期完成以就业、教育、医疗、社保等为重点的惠民工程，保障基层民生工作。提升社会公众服务能力，保障乡镇政府公信力。提升农村农业发展质量，促进农业高质高效，加快农业农村现代化，统筹推进乡镇民生福祉和经济发展。</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7C8BD6C">
            <w:pPr>
              <w:jc w:val="both"/>
            </w:pPr>
            <w:r>
              <w:rPr>
                <w:rFonts w:ascii="宋体" w:hAnsi="宋体" w:eastAsia="宋体"/>
                <w:sz w:val="16"/>
              </w:rPr>
              <w:t>岳普湖县也克先拜巴扎镇人民政府已完成本年度乡村振兴推进任务，推进乡村振兴村级数量14个，巩固拓展脱贫攻坚成果，严格落实“四个不摘”要求，常态化抓好防止返贫监测帮扶机制，坚决守住不发生规模性返贫底线。已完成本年度基层党组织建设工作，完成率100%，进一步梳理职责清单，明确职责任务和行政职能，深化“五个好”党支部建设标准化规范化创建，培养更多高素质专业化干部，持续深化全面从严治党向各领域延伸，夯实党在基层的执政根基。已完成农村社会主义民主政治和法治建设政策全覆盖，覆盖率100%，坚决维护国家安全和社会稳定，学习贯彻习近平法治思想，坚持依法治理，让法制观念深入人心，让广大群众成为懂法、知法、敬法、守法的法治公民。已完成民族团结宣传教育工作，完成率100%，推进民族团结创建新成效，以网格为基础，以联户为单元，以农户为落点，常态化开展“民族团结一家亲”联谊活动，强化中华民族共同体意识、“五个认同”宣传教育。本年度已完成重点惠民工程，完成及时率100%，尽心竭力办实事、解民忧，紧紧抓住人民最关心最直接最现实的利益问题，采取更多惠民生、暖民心举措，着力破解群众</w:t>
            </w:r>
            <w:r>
              <w:rPr>
                <w:rFonts w:hint="eastAsia" w:ascii="宋体" w:hAnsi="宋体"/>
                <w:sz w:val="16"/>
                <w:lang w:eastAsia="zh-CN"/>
              </w:rPr>
              <w:t>急难愁盼问题</w:t>
            </w:r>
            <w:r>
              <w:rPr>
                <w:rFonts w:ascii="宋体" w:hAnsi="宋体" w:eastAsia="宋体"/>
                <w:sz w:val="16"/>
              </w:rPr>
              <w:t>，提高人民生活品质。</w:t>
            </w:r>
          </w:p>
        </w:tc>
      </w:tr>
      <w:tr w14:paraId="093470E9">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2F264B">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BB4A0F">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0EB784D">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1D98AF1">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33D3337">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FA2F11A">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D11270">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41E046">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731E2AF">
            <w:pPr>
              <w:jc w:val="center"/>
            </w:pPr>
            <w:r>
              <w:rPr>
                <w:rFonts w:ascii="宋体" w:hAnsi="宋体" w:eastAsia="宋体"/>
                <w:sz w:val="16"/>
              </w:rPr>
              <w:t>得分</w:t>
            </w:r>
          </w:p>
        </w:tc>
      </w:tr>
      <w:tr w14:paraId="4953AA66">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CBF88AA">
            <w:pPr>
              <w:jc w:val="center"/>
            </w:pPr>
            <w:r>
              <w:rPr>
                <w:rFonts w:ascii="宋体" w:hAnsi="宋体" w:eastAsia="宋体"/>
                <w:sz w:val="16"/>
              </w:rPr>
              <w:t>履职效能</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6926BC3">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89FDA24">
            <w:pPr>
              <w:jc w:val="center"/>
            </w:pPr>
            <w:r>
              <w:rPr>
                <w:rFonts w:ascii="宋体" w:hAnsi="宋体" w:eastAsia="宋体"/>
                <w:sz w:val="16"/>
              </w:rPr>
              <w:t>推进乡村振兴村级数量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CE5D987">
            <w:pPr>
              <w:jc w:val="center"/>
            </w:pPr>
            <w:r>
              <w:rPr>
                <w:rFonts w:ascii="宋体" w:hAnsi="宋体" w:eastAsia="宋体"/>
                <w:sz w:val="16"/>
              </w:rPr>
              <w:t>&gt;=14个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A4234AD">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902208">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CDAC552">
            <w:pPr>
              <w:jc w:val="center"/>
            </w:pPr>
            <w:r>
              <w:rPr>
                <w:rFonts w:ascii="宋体" w:hAnsi="宋体" w:eastAsia="宋体"/>
                <w:sz w:val="16"/>
              </w:rPr>
              <w:t>14个</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D634353">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88480FD">
            <w:pPr>
              <w:jc w:val="center"/>
            </w:pPr>
            <w:r>
              <w:rPr>
                <w:rFonts w:ascii="宋体" w:hAnsi="宋体" w:eastAsia="宋体"/>
                <w:sz w:val="16"/>
              </w:rPr>
              <w:t>18</w:t>
            </w:r>
          </w:p>
        </w:tc>
      </w:tr>
      <w:tr w14:paraId="0835F867">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2765E303"/>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B127083">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706726A">
            <w:pPr>
              <w:jc w:val="center"/>
            </w:pPr>
            <w:r>
              <w:rPr>
                <w:rFonts w:ascii="宋体" w:hAnsi="宋体" w:eastAsia="宋体"/>
                <w:sz w:val="16"/>
              </w:rPr>
              <w:t>基层党组织建设工作完成率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DA13D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B900817">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2A0A9DF">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9D60E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F73BDD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29D722F">
            <w:pPr>
              <w:jc w:val="center"/>
            </w:pPr>
            <w:r>
              <w:rPr>
                <w:rFonts w:ascii="宋体" w:hAnsi="宋体" w:eastAsia="宋体"/>
                <w:sz w:val="16"/>
              </w:rPr>
              <w:t>18</w:t>
            </w:r>
          </w:p>
        </w:tc>
      </w:tr>
      <w:tr w14:paraId="633163F0">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AED9586"/>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F8D0C0F"/>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77FA0B5">
            <w:pPr>
              <w:jc w:val="center"/>
            </w:pPr>
            <w:r>
              <w:rPr>
                <w:rFonts w:ascii="宋体" w:hAnsi="宋体" w:eastAsia="宋体"/>
                <w:sz w:val="16"/>
              </w:rPr>
              <w:t>民族团结宣传教育工作完成率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922728A">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D477B45">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CD15A72">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8281CF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1039D8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5E38F88">
            <w:pPr>
              <w:jc w:val="center"/>
            </w:pPr>
            <w:r>
              <w:rPr>
                <w:rFonts w:ascii="宋体" w:hAnsi="宋体" w:eastAsia="宋体"/>
                <w:sz w:val="16"/>
              </w:rPr>
              <w:t>18</w:t>
            </w:r>
          </w:p>
        </w:tc>
      </w:tr>
      <w:tr w14:paraId="70A344EE">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D3EB2E8"/>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7C8297B5"/>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753C2962">
            <w:pPr>
              <w:jc w:val="center"/>
            </w:pPr>
            <w:r>
              <w:rPr>
                <w:rFonts w:ascii="宋体" w:hAnsi="宋体" w:eastAsia="宋体"/>
                <w:sz w:val="16"/>
              </w:rPr>
              <w:t>农村社会主义民主政治和法治建设政策覆盖率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E6BE8B8">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4B0D31D">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FE6FD87">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AF6D944">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16390D">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ECF0D6F">
            <w:pPr>
              <w:jc w:val="center"/>
            </w:pPr>
            <w:r>
              <w:rPr>
                <w:rFonts w:ascii="宋体" w:hAnsi="宋体" w:eastAsia="宋体"/>
                <w:sz w:val="16"/>
              </w:rPr>
              <w:t>18</w:t>
            </w:r>
          </w:p>
        </w:tc>
      </w:tr>
      <w:tr w14:paraId="0B0F80FD">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14:paraId="3B8555E4"/>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3AA6B126">
            <w:pPr>
              <w:jc w:val="center"/>
            </w:pPr>
            <w:r>
              <w:rPr>
                <w:rFonts w:ascii="宋体" w:hAnsi="宋体" w:eastAsia="宋体"/>
                <w:sz w:val="16"/>
              </w:rPr>
              <w:t>时效指标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1192D474">
            <w:pPr>
              <w:jc w:val="center"/>
            </w:pPr>
            <w:r>
              <w:rPr>
                <w:rFonts w:ascii="宋体" w:hAnsi="宋体" w:eastAsia="宋体"/>
                <w:sz w:val="16"/>
              </w:rPr>
              <w:t>重点惠民工程完成及时率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4D90D0BF">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E71FC8">
            <w:pPr>
              <w:jc w:val="center"/>
            </w:pPr>
            <w:r>
              <w:rPr>
                <w:rFonts w:ascii="宋体" w:hAnsi="宋体" w:eastAsia="宋体"/>
                <w:sz w:val="16"/>
              </w:rPr>
              <w:t>单位计划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5027C7DA">
            <w:pPr>
              <w:jc w:val="center"/>
            </w:pPr>
            <w:r>
              <w:rPr>
                <w:rFonts w:ascii="宋体" w:hAnsi="宋体" w:eastAsia="宋体"/>
                <w:sz w:val="16"/>
              </w:rPr>
              <w:t>18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652FC02E">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29A39840">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14:paraId="0A7C9995">
            <w:pPr>
              <w:jc w:val="center"/>
            </w:pPr>
            <w:r>
              <w:rPr>
                <w:rFonts w:ascii="宋体" w:hAnsi="宋体" w:eastAsia="宋体"/>
                <w:sz w:val="16"/>
              </w:rPr>
              <w:t>18</w:t>
            </w:r>
          </w:p>
        </w:tc>
      </w:tr>
    </w:tbl>
    <w:p w14:paraId="7DE4FE4E">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3165ABF5">
        <w:tblPrEx>
          <w:tblCellMar>
            <w:top w:w="0" w:type="dxa"/>
            <w:left w:w="108" w:type="dxa"/>
            <w:bottom w:w="0" w:type="dxa"/>
            <w:right w:w="108" w:type="dxa"/>
          </w:tblCellMar>
        </w:tblPrEx>
        <w:tc>
          <w:tcPr>
            <w:tcW w:w="8848" w:type="dxa"/>
            <w:gridSpan w:val="14"/>
            <w:vAlign w:val="center"/>
          </w:tcPr>
          <w:p w14:paraId="3C24097A">
            <w:pPr>
              <w:jc w:val="center"/>
            </w:pPr>
            <w:r>
              <w:rPr>
                <w:rFonts w:ascii="宋体" w:hAnsi="宋体" w:eastAsia="宋体"/>
                <w:sz w:val="24"/>
              </w:rPr>
              <w:t>项目支出绩效自评表</w:t>
            </w:r>
          </w:p>
        </w:tc>
      </w:tr>
      <w:tr w14:paraId="760A32CD">
        <w:tblPrEx>
          <w:tblCellMar>
            <w:top w:w="0" w:type="dxa"/>
            <w:left w:w="108" w:type="dxa"/>
            <w:bottom w:w="0" w:type="dxa"/>
            <w:right w:w="108" w:type="dxa"/>
          </w:tblCellMar>
        </w:tblPrEx>
        <w:tc>
          <w:tcPr>
            <w:tcW w:w="8848" w:type="dxa"/>
            <w:gridSpan w:val="14"/>
            <w:vAlign w:val="center"/>
          </w:tcPr>
          <w:p w14:paraId="59DBF8AB">
            <w:pPr>
              <w:jc w:val="center"/>
            </w:pPr>
            <w:r>
              <w:rPr>
                <w:rFonts w:ascii="宋体" w:hAnsi="宋体" w:eastAsia="宋体"/>
                <w:sz w:val="24"/>
              </w:rPr>
              <w:t>(2024年度)</w:t>
            </w:r>
          </w:p>
        </w:tc>
      </w:tr>
      <w:tr w14:paraId="4D5DB4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016D5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F41673">
            <w:pPr>
              <w:jc w:val="center"/>
            </w:pPr>
            <w:r>
              <w:rPr>
                <w:rFonts w:ascii="宋体" w:hAnsi="宋体" w:eastAsia="宋体"/>
                <w:sz w:val="16"/>
              </w:rPr>
              <w:t>2024年乡镇工作经费项目</w:t>
            </w:r>
          </w:p>
        </w:tc>
      </w:tr>
      <w:tr w14:paraId="0F38DB2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A1E75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7240FD">
            <w:pPr>
              <w:jc w:val="center"/>
            </w:pPr>
            <w:r>
              <w:rPr>
                <w:rFonts w:ascii="宋体" w:hAnsi="宋体" w:eastAsia="宋体"/>
                <w:sz w:val="16"/>
              </w:rPr>
              <w:t>岳普湖县也克先拜巴扎镇人民政府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3C61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9C3EF0">
            <w:pPr>
              <w:jc w:val="center"/>
            </w:pPr>
            <w:r>
              <w:rPr>
                <w:rFonts w:ascii="宋体" w:hAnsi="宋体" w:eastAsia="宋体"/>
                <w:sz w:val="16"/>
              </w:rPr>
              <w:t>岳普湖县也克先拜巴扎镇人民政府</w:t>
            </w:r>
          </w:p>
        </w:tc>
      </w:tr>
      <w:tr w14:paraId="62570DF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829A27">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704F7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3D541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7A4A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F4736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BFD9B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6E4F5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FCEE72">
            <w:pPr>
              <w:jc w:val="center"/>
            </w:pPr>
            <w:r>
              <w:rPr>
                <w:rFonts w:ascii="宋体" w:hAnsi="宋体" w:eastAsia="宋体"/>
                <w:sz w:val="16"/>
              </w:rPr>
              <w:t>得分</w:t>
            </w:r>
          </w:p>
        </w:tc>
      </w:tr>
      <w:tr w14:paraId="6A9A91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B6F1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FE53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B8CCCB">
            <w:pPr>
              <w:jc w:val="center"/>
            </w:pPr>
            <w:r>
              <w:rPr>
                <w:rFonts w:ascii="宋体" w:hAnsi="宋体" w:eastAsia="宋体"/>
                <w:sz w:val="16"/>
              </w:rPr>
              <w:t>131.00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E347E5">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6BDFD1">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376B3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8970E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F3053">
            <w:pPr>
              <w:jc w:val="center"/>
            </w:pPr>
            <w:r>
              <w:rPr>
                <w:rFonts w:ascii="宋体" w:hAnsi="宋体" w:eastAsia="宋体"/>
                <w:sz w:val="16"/>
              </w:rPr>
              <w:t>10.00分</w:t>
            </w:r>
          </w:p>
        </w:tc>
      </w:tr>
      <w:tr w14:paraId="36A02D8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AA038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25BB1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0C1AF7">
            <w:pPr>
              <w:jc w:val="center"/>
            </w:pPr>
            <w:r>
              <w:rPr>
                <w:rFonts w:ascii="宋体" w:hAnsi="宋体" w:eastAsia="宋体"/>
                <w:sz w:val="16"/>
              </w:rPr>
              <w:t>131.00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2660E">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B1BD7A">
            <w:pPr>
              <w:jc w:val="center"/>
            </w:pPr>
            <w:r>
              <w:rPr>
                <w:rFonts w:ascii="宋体" w:hAnsi="宋体" w:eastAsia="宋体"/>
                <w:sz w:val="16"/>
              </w:rPr>
              <w:t>161.00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F2A53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CF36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63E2F">
            <w:pPr>
              <w:jc w:val="center"/>
            </w:pPr>
            <w:r>
              <w:rPr>
                <w:rFonts w:ascii="宋体" w:hAnsi="宋体" w:eastAsia="宋体"/>
                <w:sz w:val="16"/>
              </w:rPr>
              <w:t>—</w:t>
            </w:r>
          </w:p>
        </w:tc>
      </w:tr>
      <w:tr w14:paraId="5284BD0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84A3D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2153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190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CD301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1552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348E9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7588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2D330">
            <w:pPr>
              <w:jc w:val="center"/>
            </w:pPr>
            <w:r>
              <w:rPr>
                <w:rFonts w:ascii="宋体" w:hAnsi="宋体" w:eastAsia="宋体"/>
                <w:sz w:val="16"/>
              </w:rPr>
              <w:t>—</w:t>
            </w:r>
          </w:p>
        </w:tc>
      </w:tr>
      <w:tr w14:paraId="5F0106B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10809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822485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81FC11">
            <w:pPr>
              <w:jc w:val="center"/>
            </w:pPr>
            <w:r>
              <w:rPr>
                <w:rFonts w:ascii="宋体" w:hAnsi="宋体" w:eastAsia="宋体"/>
                <w:sz w:val="16"/>
              </w:rPr>
              <w:t>实际完成情况</w:t>
            </w:r>
          </w:p>
        </w:tc>
      </w:tr>
      <w:tr w14:paraId="03357F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B77014"/>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78E414">
            <w:pPr>
              <w:jc w:val="both"/>
            </w:pPr>
            <w:r>
              <w:rPr>
                <w:rFonts w:ascii="宋体" w:hAnsi="宋体" w:eastAsia="宋体"/>
                <w:sz w:val="16"/>
              </w:rPr>
              <w:t>根据岳普湖县实际情况，为确保岳普湖县也克先拜巴扎镇人民政府各项工作有序进行，贯彻落实好县委、县政府各项工作部署要求，为也克先拜巴扎镇人民政府提供经费保障，经费保障单位数量1个。通过项目的实施提升社会公众服务能力，保障单位日常工作顺利实施。</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722F17F">
            <w:pPr>
              <w:jc w:val="both"/>
            </w:pPr>
            <w:r>
              <w:rPr>
                <w:rFonts w:ascii="宋体" w:hAnsi="宋体" w:eastAsia="宋体"/>
                <w:sz w:val="16"/>
              </w:rPr>
              <w:t>项目已完成2024年度也克先拜巴扎镇人民政府经费保障任务，经费保障单位数量1个。预算执行率100%。通过项目的实施有效提升社会公众服务能力，保障单位日常工作顺利实施。</w:t>
            </w:r>
          </w:p>
        </w:tc>
      </w:tr>
      <w:tr w14:paraId="5FE7B91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D620E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28E65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68D10">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367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445A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905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1D134">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83E95">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1A3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6619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9E12B9">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48EEF">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CC3EBE">
            <w:pPr>
              <w:jc w:val="center"/>
            </w:pPr>
            <w:r>
              <w:rPr>
                <w:rFonts w:ascii="宋体" w:hAnsi="宋体" w:eastAsia="宋体"/>
                <w:sz w:val="16"/>
              </w:rPr>
              <w:t>偏差原因分析及改进措施</w:t>
            </w:r>
          </w:p>
        </w:tc>
      </w:tr>
      <w:tr w14:paraId="0B3BC35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A8D47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06884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F1E7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318B8">
            <w:pPr>
              <w:jc w:val="center"/>
            </w:pPr>
            <w:r>
              <w:rPr>
                <w:rFonts w:ascii="宋体" w:hAnsi="宋体" w:eastAsia="宋体"/>
                <w:sz w:val="16"/>
              </w:rPr>
              <w:t>项目经费保障单位数量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DBAF2">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58B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765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4D41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DB77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1979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5B09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315B1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2B5B65">
            <w:pPr>
              <w:jc w:val="center"/>
            </w:pPr>
          </w:p>
        </w:tc>
      </w:tr>
      <w:tr w14:paraId="75B737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F3AF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899F3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D8122F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A8FBA">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AC2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499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CE85E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B381E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858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4E3B1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0B26C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A733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40FA09">
            <w:pPr>
              <w:jc w:val="center"/>
            </w:pPr>
          </w:p>
        </w:tc>
      </w:tr>
      <w:tr w14:paraId="176AF5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B157C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0AE2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9D14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E9581">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A725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7C13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B8E9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6AF70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5840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D0E4B">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8397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438D8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0D3E34">
            <w:pPr>
              <w:jc w:val="center"/>
            </w:pPr>
          </w:p>
        </w:tc>
      </w:tr>
      <w:tr w14:paraId="5DCA9D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84D7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5F09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06E3F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82B99">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8F2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F1F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9F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A992">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29F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ECF1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3684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83E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761EFF">
            <w:pPr>
              <w:jc w:val="center"/>
            </w:pPr>
          </w:p>
        </w:tc>
      </w:tr>
      <w:tr w14:paraId="08D1F8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0349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49635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9EDFE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F4AB6">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3FC92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C9CB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E170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38E0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AACB6">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EB5C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42462">
            <w:pPr>
              <w:jc w:val="center"/>
            </w:pPr>
            <w:r>
              <w:rPr>
                <w:rFonts w:ascii="宋体" w:hAnsi="宋体" w:eastAsia="宋体"/>
                <w:sz w:val="16"/>
              </w:rPr>
              <w:t>=2024年12月23日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7523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A6782">
            <w:pPr>
              <w:jc w:val="center"/>
            </w:pPr>
          </w:p>
        </w:tc>
      </w:tr>
      <w:tr w14:paraId="76E3B11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7061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4D682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B454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6693C">
            <w:pPr>
              <w:jc w:val="center"/>
            </w:pPr>
            <w:r>
              <w:rPr>
                <w:rFonts w:ascii="宋体" w:hAnsi="宋体" w:eastAsia="宋体"/>
                <w:sz w:val="16"/>
              </w:rPr>
              <w:t>经费预算控制数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25566">
            <w:pPr>
              <w:jc w:val="center"/>
            </w:pPr>
            <w:r>
              <w:rPr>
                <w:rFonts w:ascii="宋体" w:hAnsi="宋体" w:eastAsia="宋体"/>
                <w:sz w:val="16"/>
              </w:rPr>
              <w:t>&lt;=161万元/个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3ABE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ABB694">
            <w:pPr>
              <w:jc w:val="center"/>
            </w:pPr>
            <w:r>
              <w:rPr>
                <w:rFonts w:ascii="宋体" w:hAnsi="宋体" w:eastAsia="宋体"/>
                <w:sz w:val="16"/>
              </w:rPr>
              <w:t>39.65万元/个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572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7D74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0A5A1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D144C">
            <w:pPr>
              <w:jc w:val="center"/>
            </w:pPr>
            <w:r>
              <w:rPr>
                <w:rFonts w:ascii="宋体" w:hAnsi="宋体" w:eastAsia="宋体"/>
                <w:sz w:val="16"/>
              </w:rPr>
              <w:t>=161万元/个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FDB22E">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46F65">
            <w:pPr>
              <w:jc w:val="center"/>
            </w:pPr>
          </w:p>
        </w:tc>
      </w:tr>
      <w:tr w14:paraId="39D611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91B2A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A73F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56E7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043B7B">
            <w:pPr>
              <w:jc w:val="center"/>
            </w:pPr>
            <w:r>
              <w:rPr>
                <w:rFonts w:ascii="宋体" w:hAnsi="宋体" w:eastAsia="宋体"/>
                <w:sz w:val="16"/>
              </w:rPr>
              <w:t>保障单位日常工作顺利实施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8F89C">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F4455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6E9553">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1BCF">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99B8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3D3D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08BC9">
            <w:pPr>
              <w:jc w:val="center"/>
            </w:pPr>
            <w:r>
              <w:rPr>
                <w:rFonts w:ascii="宋体" w:hAnsi="宋体" w:eastAsia="宋体"/>
                <w:sz w:val="16"/>
              </w:rPr>
              <w:t>有效保障</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F1F925">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8B9097">
            <w:pPr>
              <w:jc w:val="center"/>
            </w:pPr>
          </w:p>
        </w:tc>
      </w:tr>
      <w:tr w14:paraId="139C4F69">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254C6B">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0EE3D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6F1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444BF">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18803E2"/>
        </w:tc>
      </w:tr>
    </w:tbl>
    <w:p w14:paraId="014690D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14:paraId="2FE0B718">
        <w:tblPrEx>
          <w:tblCellMar>
            <w:top w:w="0" w:type="dxa"/>
            <w:left w:w="108" w:type="dxa"/>
            <w:bottom w:w="0" w:type="dxa"/>
            <w:right w:w="108" w:type="dxa"/>
          </w:tblCellMar>
        </w:tblPrEx>
        <w:tc>
          <w:tcPr>
            <w:tcW w:w="8848" w:type="dxa"/>
            <w:gridSpan w:val="14"/>
            <w:vAlign w:val="center"/>
          </w:tcPr>
          <w:p w14:paraId="23E686AD">
            <w:pPr>
              <w:jc w:val="center"/>
            </w:pPr>
            <w:r>
              <w:rPr>
                <w:rFonts w:ascii="宋体" w:hAnsi="宋体" w:eastAsia="宋体"/>
                <w:sz w:val="24"/>
              </w:rPr>
              <w:t>项目支出绩效自评表</w:t>
            </w:r>
          </w:p>
        </w:tc>
      </w:tr>
      <w:tr w14:paraId="17319C46">
        <w:tblPrEx>
          <w:tblCellMar>
            <w:top w:w="0" w:type="dxa"/>
            <w:left w:w="108" w:type="dxa"/>
            <w:bottom w:w="0" w:type="dxa"/>
            <w:right w:w="108" w:type="dxa"/>
          </w:tblCellMar>
        </w:tblPrEx>
        <w:tc>
          <w:tcPr>
            <w:tcW w:w="8848" w:type="dxa"/>
            <w:gridSpan w:val="14"/>
            <w:vAlign w:val="center"/>
          </w:tcPr>
          <w:p w14:paraId="39C05FA0">
            <w:pPr>
              <w:jc w:val="center"/>
            </w:pPr>
            <w:r>
              <w:rPr>
                <w:rFonts w:ascii="宋体" w:hAnsi="宋体" w:eastAsia="宋体"/>
                <w:sz w:val="24"/>
              </w:rPr>
              <w:t>(2024年度)</w:t>
            </w:r>
          </w:p>
        </w:tc>
      </w:tr>
      <w:tr w14:paraId="3F361EB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E682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6B4F65F">
            <w:pPr>
              <w:jc w:val="center"/>
            </w:pPr>
            <w:r>
              <w:rPr>
                <w:rFonts w:ascii="宋体" w:hAnsi="宋体" w:eastAsia="宋体"/>
                <w:sz w:val="16"/>
              </w:rPr>
              <w:t>也克先拜巴扎镇偿还以前年度欠款项目</w:t>
            </w:r>
          </w:p>
        </w:tc>
      </w:tr>
      <w:tr w14:paraId="4A0B294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BC3B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90B9823">
            <w:pPr>
              <w:jc w:val="center"/>
            </w:pPr>
            <w:r>
              <w:rPr>
                <w:rFonts w:ascii="宋体" w:hAnsi="宋体" w:eastAsia="宋体"/>
                <w:sz w:val="16"/>
              </w:rPr>
              <w:t>岳普湖县也克先拜巴扎镇人民政府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5C857A">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665491">
            <w:pPr>
              <w:jc w:val="center"/>
            </w:pPr>
            <w:r>
              <w:rPr>
                <w:rFonts w:ascii="宋体" w:hAnsi="宋体" w:eastAsia="宋体"/>
                <w:sz w:val="16"/>
              </w:rPr>
              <w:t>岳普湖县也克先拜巴扎镇人民政府</w:t>
            </w:r>
          </w:p>
        </w:tc>
      </w:tr>
      <w:tr w14:paraId="3BB9A8B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8B7CC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D8F7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741B3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B53E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E1ECA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12007E">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B0728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395AA">
            <w:pPr>
              <w:jc w:val="center"/>
            </w:pPr>
            <w:r>
              <w:rPr>
                <w:rFonts w:ascii="宋体" w:hAnsi="宋体" w:eastAsia="宋体"/>
                <w:sz w:val="16"/>
              </w:rPr>
              <w:t>得分</w:t>
            </w:r>
          </w:p>
        </w:tc>
      </w:tr>
      <w:tr w14:paraId="2A67C9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67CE1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1707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2E5C10">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91FEA">
            <w:pPr>
              <w:jc w:val="center"/>
            </w:pPr>
            <w:r>
              <w:rPr>
                <w:rFonts w:ascii="宋体" w:hAnsi="宋体" w:eastAsia="宋体"/>
                <w:sz w:val="16"/>
              </w:rPr>
              <w:t>34.07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B35DE7">
            <w:pPr>
              <w:jc w:val="center"/>
            </w:pPr>
            <w:r>
              <w:rPr>
                <w:rFonts w:ascii="宋体" w:hAnsi="宋体" w:eastAsia="宋体"/>
                <w:sz w:val="16"/>
              </w:rPr>
              <w:t>34.07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A1C54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5530C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D4AA5">
            <w:pPr>
              <w:jc w:val="center"/>
            </w:pPr>
            <w:r>
              <w:rPr>
                <w:rFonts w:ascii="宋体" w:hAnsi="宋体" w:eastAsia="宋体"/>
                <w:sz w:val="16"/>
              </w:rPr>
              <w:t>10.00分</w:t>
            </w:r>
          </w:p>
        </w:tc>
      </w:tr>
      <w:tr w14:paraId="5FCF3B0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27F72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36945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1D6897">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760FF">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0B24D9">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B8AEE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8CD3D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705FC">
            <w:pPr>
              <w:jc w:val="center"/>
            </w:pPr>
            <w:r>
              <w:rPr>
                <w:rFonts w:ascii="宋体" w:hAnsi="宋体" w:eastAsia="宋体"/>
                <w:sz w:val="16"/>
              </w:rPr>
              <w:t>—</w:t>
            </w:r>
          </w:p>
        </w:tc>
      </w:tr>
      <w:tr w14:paraId="423973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37AB5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B3F0C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91EFD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583EF8">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AEB46C">
            <w:pPr>
              <w:jc w:val="center"/>
            </w:pPr>
            <w:r>
              <w:rPr>
                <w:rFonts w:ascii="宋体" w:hAnsi="宋体" w:eastAsia="宋体"/>
                <w:sz w:val="16"/>
              </w:rPr>
              <w:t>9.07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4366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AB073">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A82AA">
            <w:pPr>
              <w:jc w:val="center"/>
            </w:pPr>
            <w:r>
              <w:rPr>
                <w:rFonts w:ascii="宋体" w:hAnsi="宋体" w:eastAsia="宋体"/>
                <w:sz w:val="16"/>
              </w:rPr>
              <w:t>—</w:t>
            </w:r>
          </w:p>
        </w:tc>
      </w:tr>
      <w:tr w14:paraId="0A4A9DF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9B03AD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A98E36">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7750CAF">
            <w:pPr>
              <w:jc w:val="center"/>
            </w:pPr>
            <w:r>
              <w:rPr>
                <w:rFonts w:ascii="宋体" w:hAnsi="宋体" w:eastAsia="宋体"/>
                <w:sz w:val="16"/>
              </w:rPr>
              <w:t>实际完成情况</w:t>
            </w:r>
          </w:p>
        </w:tc>
      </w:tr>
      <w:tr w14:paraId="0AF6DC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0A81F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97D733D">
            <w:pPr>
              <w:jc w:val="both"/>
            </w:pPr>
            <w:r>
              <w:rPr>
                <w:rFonts w:ascii="宋体" w:hAnsi="宋体" w:eastAsia="宋体"/>
                <w:sz w:val="16"/>
              </w:rPr>
              <w:t>根据岳普湖县也克先拜巴扎镇实际情况，为响应国家政策，提升社会公众服务能力，提高政府公信力。对2017年村级项目恰克勒克村道路工程剩余工程欠款完成本年度支付任务。对2023年中盐新疆维吾尔自治区盐业有限公司帮扶资金项目，完成剩余项目款支付任务。偿还欠款项目数量2个。通过项目的实施提升政府部门的履约和服务能力，防范和化解地方政府隐性债务风险。</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D2EEDC2">
            <w:pPr>
              <w:jc w:val="both"/>
            </w:pPr>
            <w:r>
              <w:rPr>
                <w:rFonts w:ascii="宋体" w:hAnsi="宋体" w:eastAsia="宋体"/>
                <w:sz w:val="16"/>
              </w:rPr>
              <w:t>项目已完成2017年村级项目恰克勒克村道路工程剩余工程欠款本年度支付任务，已完成2023年中盐新疆维吾尔自治区盐业有限公司帮扶资金项目剩余项目款本年度支付任务。偿还欠款项目数量2个。预算执行率100%。通过项目的实施有效提升政府部门的履约和服务能力，防范和化解地方政府隐性债务风险。</w:t>
            </w:r>
          </w:p>
        </w:tc>
      </w:tr>
      <w:tr w14:paraId="5B666CF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8A5C62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D300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B0EFF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325CF">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D460D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E5927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65D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D8EA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57853">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D558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D06A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6BC9E">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422925">
            <w:pPr>
              <w:jc w:val="center"/>
            </w:pPr>
            <w:r>
              <w:rPr>
                <w:rFonts w:ascii="宋体" w:hAnsi="宋体" w:eastAsia="宋体"/>
                <w:sz w:val="16"/>
              </w:rPr>
              <w:t>偏差原因分析及改进措施</w:t>
            </w:r>
          </w:p>
        </w:tc>
      </w:tr>
      <w:tr w14:paraId="0A2A95D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404E6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8BA12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9C97A3">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89D7">
            <w:pPr>
              <w:jc w:val="center"/>
            </w:pPr>
            <w:r>
              <w:rPr>
                <w:rFonts w:ascii="宋体" w:hAnsi="宋体" w:eastAsia="宋体"/>
                <w:sz w:val="16"/>
              </w:rPr>
              <w:t>偿还欠款项目数量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86508">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C6F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7E83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4CDB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2A7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D73A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0538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5A531">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CED1E">
            <w:pPr>
              <w:jc w:val="center"/>
            </w:pPr>
          </w:p>
        </w:tc>
      </w:tr>
      <w:tr w14:paraId="262CE8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C8C02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09C48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5D3344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D9EBA1">
            <w:pPr>
              <w:jc w:val="center"/>
            </w:pPr>
            <w:r>
              <w:rPr>
                <w:rFonts w:ascii="宋体" w:hAnsi="宋体" w:eastAsia="宋体"/>
                <w:sz w:val="16"/>
              </w:rPr>
              <w:t>项目经费保障率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33F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47D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95956">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FC8B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532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B4D8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6A1C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2E24B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B3DBF5">
            <w:pPr>
              <w:jc w:val="center"/>
            </w:pPr>
          </w:p>
        </w:tc>
      </w:tr>
      <w:tr w14:paraId="7EDE67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B85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F2592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1867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60AC6">
            <w:pPr>
              <w:jc w:val="center"/>
            </w:pPr>
            <w:r>
              <w:rPr>
                <w:rFonts w:ascii="宋体" w:hAnsi="宋体" w:eastAsia="宋体"/>
                <w:sz w:val="16"/>
              </w:rPr>
              <w:t>资金使用合规性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6C6B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C1F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D982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9C5BA">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2F6F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C143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7CC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81693">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6C79B2">
            <w:pPr>
              <w:jc w:val="center"/>
            </w:pPr>
          </w:p>
        </w:tc>
      </w:tr>
      <w:tr w14:paraId="1FD8C7E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30B89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43F1C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F969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328A90">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57A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2D3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E27E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FBF5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87B1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05C5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3DD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FA83F2">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4A7BA">
            <w:pPr>
              <w:jc w:val="center"/>
            </w:pPr>
          </w:p>
        </w:tc>
      </w:tr>
      <w:tr w14:paraId="4D031D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C740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C6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005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FCCE4">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5F99C">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53BB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DCCB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A6F1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82C5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7199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882178">
            <w:pPr>
              <w:jc w:val="center"/>
            </w:pPr>
            <w:r>
              <w:rPr>
                <w:rFonts w:ascii="宋体" w:hAnsi="宋体" w:eastAsia="宋体"/>
                <w:sz w:val="16"/>
              </w:rPr>
              <w:t>=2024年6月14日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E80F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17E9B">
            <w:pPr>
              <w:jc w:val="center"/>
            </w:pPr>
          </w:p>
        </w:tc>
      </w:tr>
      <w:tr w14:paraId="4E819A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9EB08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BE12A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9B288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41A87">
            <w:pPr>
              <w:jc w:val="center"/>
            </w:pPr>
            <w:r>
              <w:rPr>
                <w:rFonts w:ascii="宋体" w:hAnsi="宋体" w:eastAsia="宋体"/>
                <w:sz w:val="16"/>
              </w:rPr>
              <w:t>2017年村级部分预算控制数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D529AD">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8F5F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9E217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AE72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0EA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0FE5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A68CD">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8887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6FB3B0">
            <w:pPr>
              <w:jc w:val="center"/>
            </w:pPr>
          </w:p>
        </w:tc>
      </w:tr>
      <w:tr w14:paraId="38368E7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786D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C436B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89E1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0075">
            <w:pPr>
              <w:jc w:val="center"/>
            </w:pPr>
            <w:r>
              <w:rPr>
                <w:rFonts w:ascii="宋体" w:hAnsi="宋体" w:eastAsia="宋体"/>
                <w:sz w:val="16"/>
              </w:rPr>
              <w:t>2023年盐业有限公司帮扶部分预算控制数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18653">
            <w:pPr>
              <w:jc w:val="center"/>
            </w:pPr>
            <w:r>
              <w:rPr>
                <w:rFonts w:ascii="宋体" w:hAnsi="宋体" w:eastAsia="宋体"/>
                <w:sz w:val="16"/>
              </w:rPr>
              <w:t>&lt;=9.07万元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B023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48DDB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45E1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46A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1D780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2A479">
            <w:pPr>
              <w:jc w:val="center"/>
            </w:pPr>
            <w:r>
              <w:rPr>
                <w:rFonts w:ascii="宋体" w:hAnsi="宋体" w:eastAsia="宋体"/>
                <w:sz w:val="16"/>
              </w:rPr>
              <w:t>=9.07万元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809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BD2889">
            <w:pPr>
              <w:jc w:val="center"/>
            </w:pPr>
          </w:p>
        </w:tc>
      </w:tr>
      <w:tr w14:paraId="0B73619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6E05A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54CAA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384B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2B41A">
            <w:pPr>
              <w:jc w:val="center"/>
            </w:pPr>
            <w:r>
              <w:rPr>
                <w:rFonts w:ascii="宋体" w:hAnsi="宋体" w:eastAsia="宋体"/>
                <w:sz w:val="16"/>
              </w:rPr>
              <w:t>提升政府部门的履约和服务能力，防范和化解地方政府隐性债务风险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0EF24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4E7C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F071A">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246BD">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B86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07F1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A245E">
            <w:pPr>
              <w:jc w:val="center"/>
            </w:pPr>
            <w:r>
              <w:rPr>
                <w:rFonts w:ascii="宋体" w:hAnsi="宋体" w:eastAsia="宋体"/>
                <w:sz w:val="16"/>
              </w:rPr>
              <w:t>有效提升</w:t>
            </w:r>
            <w:r>
              <w:rPr>
                <w:rFonts w:ascii="宋体" w:hAnsi="宋体" w:eastAsia="宋体"/>
                <w:sz w:val="16"/>
              </w:rPr>
              <w:tab/>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09189">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DFE9FF">
            <w:pPr>
              <w:jc w:val="center"/>
            </w:pPr>
          </w:p>
        </w:tc>
      </w:tr>
      <w:tr w14:paraId="0AF1F9DB">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BF8A5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DEBB8">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36482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3A4C9">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9166BAF"/>
        </w:tc>
      </w:tr>
    </w:tbl>
    <w:p w14:paraId="4BE9E1EF">
      <w:r>
        <w:br w:type="page"/>
      </w:r>
    </w:p>
    <w:tbl>
      <w:tblPr>
        <w:tblStyle w:val="9"/>
        <w:tblW w:w="0" w:type="auto"/>
        <w:tblInd w:w="0" w:type="dxa"/>
        <w:tblLayout w:type="autofit"/>
        <w:tblCellMar>
          <w:top w:w="0" w:type="dxa"/>
          <w:left w:w="108" w:type="dxa"/>
          <w:bottom w:w="0" w:type="dxa"/>
          <w:right w:w="108" w:type="dxa"/>
        </w:tblCellMar>
      </w:tblPr>
      <w:tblGrid>
        <w:gridCol w:w="626"/>
        <w:gridCol w:w="615"/>
        <w:gridCol w:w="615"/>
        <w:gridCol w:w="626"/>
        <w:gridCol w:w="856"/>
        <w:gridCol w:w="615"/>
        <w:gridCol w:w="615"/>
        <w:gridCol w:w="621"/>
        <w:gridCol w:w="615"/>
        <w:gridCol w:w="615"/>
        <w:gridCol w:w="776"/>
        <w:gridCol w:w="632"/>
        <w:gridCol w:w="601"/>
        <w:gridCol w:w="632"/>
      </w:tblGrid>
      <w:tr w14:paraId="72D6CF95">
        <w:tblPrEx>
          <w:tblCellMar>
            <w:top w:w="0" w:type="dxa"/>
            <w:left w:w="108" w:type="dxa"/>
            <w:bottom w:w="0" w:type="dxa"/>
            <w:right w:w="108" w:type="dxa"/>
          </w:tblCellMar>
        </w:tblPrEx>
        <w:tc>
          <w:tcPr>
            <w:tcW w:w="8848" w:type="dxa"/>
            <w:gridSpan w:val="14"/>
            <w:vAlign w:val="center"/>
          </w:tcPr>
          <w:p w14:paraId="6B021931">
            <w:pPr>
              <w:jc w:val="center"/>
            </w:pPr>
            <w:r>
              <w:rPr>
                <w:rFonts w:ascii="宋体" w:hAnsi="宋体" w:eastAsia="宋体"/>
                <w:sz w:val="24"/>
              </w:rPr>
              <w:t>项目支出绩效自评表</w:t>
            </w:r>
          </w:p>
        </w:tc>
      </w:tr>
      <w:tr w14:paraId="23E782D1">
        <w:tblPrEx>
          <w:tblCellMar>
            <w:top w:w="0" w:type="dxa"/>
            <w:left w:w="108" w:type="dxa"/>
            <w:bottom w:w="0" w:type="dxa"/>
            <w:right w:w="108" w:type="dxa"/>
          </w:tblCellMar>
        </w:tblPrEx>
        <w:tc>
          <w:tcPr>
            <w:tcW w:w="8848" w:type="dxa"/>
            <w:gridSpan w:val="14"/>
            <w:vAlign w:val="center"/>
          </w:tcPr>
          <w:p w14:paraId="5A2CEEF3">
            <w:pPr>
              <w:jc w:val="center"/>
            </w:pPr>
            <w:r>
              <w:rPr>
                <w:rFonts w:ascii="宋体" w:hAnsi="宋体" w:eastAsia="宋体"/>
                <w:sz w:val="24"/>
              </w:rPr>
              <w:t>(2024年度)</w:t>
            </w:r>
          </w:p>
        </w:tc>
      </w:tr>
      <w:tr w14:paraId="6406407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2987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A7C2DE9">
            <w:pPr>
              <w:jc w:val="center"/>
            </w:pPr>
            <w:r>
              <w:rPr>
                <w:rFonts w:ascii="宋体" w:hAnsi="宋体" w:eastAsia="宋体"/>
                <w:sz w:val="16"/>
              </w:rPr>
              <w:t>也克先拜巴扎镇援疆资金项目</w:t>
            </w:r>
          </w:p>
        </w:tc>
      </w:tr>
      <w:tr w14:paraId="3774493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858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F815D8">
            <w:pPr>
              <w:jc w:val="center"/>
            </w:pPr>
            <w:r>
              <w:rPr>
                <w:rFonts w:ascii="宋体" w:hAnsi="宋体" w:eastAsia="宋体"/>
                <w:sz w:val="16"/>
              </w:rPr>
              <w:t>岳普湖县也克先拜巴扎镇人民政府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5E4BB">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66BD8EC">
            <w:pPr>
              <w:jc w:val="center"/>
            </w:pPr>
            <w:r>
              <w:rPr>
                <w:rFonts w:ascii="宋体" w:hAnsi="宋体" w:eastAsia="宋体"/>
                <w:sz w:val="16"/>
              </w:rPr>
              <w:t>岳普湖县也克先拜巴扎镇人民政府</w:t>
            </w:r>
          </w:p>
        </w:tc>
      </w:tr>
      <w:tr w14:paraId="6851CAE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426DFD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5D4AA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F62D4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640F88">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B4F77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E61B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16F2F1">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54C0B">
            <w:pPr>
              <w:jc w:val="center"/>
            </w:pPr>
            <w:r>
              <w:rPr>
                <w:rFonts w:ascii="宋体" w:hAnsi="宋体" w:eastAsia="宋体"/>
                <w:sz w:val="16"/>
              </w:rPr>
              <w:t>得分</w:t>
            </w:r>
          </w:p>
        </w:tc>
      </w:tr>
      <w:tr w14:paraId="0AC083E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213CA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00306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570E2A">
            <w:pPr>
              <w:jc w:val="center"/>
            </w:pPr>
            <w:r>
              <w:rPr>
                <w:rFonts w:ascii="宋体" w:hAnsi="宋体" w:eastAsia="宋体"/>
                <w:sz w:val="16"/>
              </w:rPr>
              <w:t>304.59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AE55FF">
            <w:pPr>
              <w:jc w:val="center"/>
            </w:pPr>
            <w:r>
              <w:rPr>
                <w:rFonts w:ascii="宋体" w:hAnsi="宋体" w:eastAsia="宋体"/>
                <w:sz w:val="16"/>
              </w:rPr>
              <w:t>304.59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E6B541">
            <w:pPr>
              <w:jc w:val="center"/>
            </w:pPr>
            <w:r>
              <w:rPr>
                <w:rFonts w:ascii="宋体" w:hAnsi="宋体" w:eastAsia="宋体"/>
                <w:sz w:val="16"/>
              </w:rPr>
              <w:t>304.59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0535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D4B3E6">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665636">
            <w:pPr>
              <w:jc w:val="center"/>
            </w:pPr>
            <w:r>
              <w:rPr>
                <w:rFonts w:ascii="宋体" w:hAnsi="宋体" w:eastAsia="宋体"/>
                <w:sz w:val="16"/>
              </w:rPr>
              <w:t>10.00分</w:t>
            </w:r>
          </w:p>
        </w:tc>
      </w:tr>
      <w:tr w14:paraId="5B228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19F5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B3A2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E3B33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7039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2CADF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6D30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6C5FB">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12DDD0">
            <w:pPr>
              <w:jc w:val="center"/>
            </w:pPr>
            <w:r>
              <w:rPr>
                <w:rFonts w:ascii="宋体" w:hAnsi="宋体" w:eastAsia="宋体"/>
                <w:sz w:val="16"/>
              </w:rPr>
              <w:t>—</w:t>
            </w:r>
          </w:p>
        </w:tc>
      </w:tr>
      <w:tr w14:paraId="181FC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8A7F9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10C8D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C186E6">
            <w:pPr>
              <w:jc w:val="center"/>
            </w:pPr>
            <w:r>
              <w:rPr>
                <w:rFonts w:ascii="宋体" w:hAnsi="宋体" w:eastAsia="宋体"/>
                <w:sz w:val="16"/>
              </w:rPr>
              <w:t>304.59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5E4755">
            <w:pPr>
              <w:jc w:val="center"/>
            </w:pPr>
            <w:r>
              <w:rPr>
                <w:rFonts w:ascii="宋体" w:hAnsi="宋体" w:eastAsia="宋体"/>
                <w:sz w:val="16"/>
              </w:rPr>
              <w:t>304.59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592F15">
            <w:pPr>
              <w:jc w:val="center"/>
            </w:pPr>
            <w:r>
              <w:rPr>
                <w:rFonts w:ascii="宋体" w:hAnsi="宋体" w:eastAsia="宋体"/>
                <w:sz w:val="16"/>
              </w:rPr>
              <w:t>304.59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30C2F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944B5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91A80">
            <w:pPr>
              <w:jc w:val="center"/>
            </w:pPr>
            <w:r>
              <w:rPr>
                <w:rFonts w:ascii="宋体" w:hAnsi="宋体" w:eastAsia="宋体"/>
                <w:sz w:val="16"/>
              </w:rPr>
              <w:t>—</w:t>
            </w:r>
          </w:p>
        </w:tc>
      </w:tr>
      <w:tr w14:paraId="4DED657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49169">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8A72B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FD8A7F6">
            <w:pPr>
              <w:jc w:val="center"/>
            </w:pPr>
            <w:r>
              <w:rPr>
                <w:rFonts w:ascii="宋体" w:hAnsi="宋体" w:eastAsia="宋体"/>
                <w:sz w:val="16"/>
              </w:rPr>
              <w:t>实际完成情况</w:t>
            </w:r>
          </w:p>
        </w:tc>
      </w:tr>
      <w:tr w14:paraId="098EFC5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7D76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23090AA">
            <w:pPr>
              <w:jc w:val="both"/>
            </w:pPr>
            <w:r>
              <w:rPr>
                <w:rFonts w:ascii="宋体" w:hAnsi="宋体" w:eastAsia="宋体"/>
                <w:sz w:val="16"/>
              </w:rPr>
              <w:t>根据岳普湖县实际情况，为响应地委扩大会议精神，持续深化对口援疆工作。对也克先拜巴扎镇提供援疆资金保障，完成乡村振兴等项目。援疆资金保障项目数量3个。通过项目的实施推动受援地经济发展和民生改善，为援疆工作高质量发展作出新贡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3552E7">
            <w:pPr>
              <w:jc w:val="both"/>
            </w:pPr>
            <w:r>
              <w:rPr>
                <w:rFonts w:ascii="宋体" w:hAnsi="宋体" w:eastAsia="宋体"/>
                <w:sz w:val="16"/>
              </w:rPr>
              <w:t>项目已完成也克先拜巴扎镇援疆资金2024年度保障任务，完成乡村振兴等项目尾款、进度款支付任务。援疆资金保障项目数量3个。预算执行率100%。通过项目的实施有效推动受援地经济发展和民生改善，为援疆工作高质量发展作出新贡献。</w:t>
            </w:r>
          </w:p>
        </w:tc>
      </w:tr>
      <w:tr w14:paraId="033AC4B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C0A45A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4FA44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AA92F">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B3E1B">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73FAD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519C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890C30">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960B">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37D7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C51EB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E23CA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56680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AFD91E">
            <w:pPr>
              <w:jc w:val="center"/>
            </w:pPr>
            <w:r>
              <w:rPr>
                <w:rFonts w:ascii="宋体" w:hAnsi="宋体" w:eastAsia="宋体"/>
                <w:sz w:val="16"/>
              </w:rPr>
              <w:t>偏差原因分析及改进措施</w:t>
            </w:r>
          </w:p>
        </w:tc>
      </w:tr>
      <w:tr w14:paraId="16F45E7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4A6C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49352">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E60E3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D13B9">
            <w:pPr>
              <w:jc w:val="center"/>
            </w:pPr>
            <w:r>
              <w:rPr>
                <w:rFonts w:ascii="宋体" w:hAnsi="宋体" w:eastAsia="宋体"/>
                <w:sz w:val="16"/>
              </w:rPr>
              <w:t>援疆资金保障项目数量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E1A18B">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9348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D360C">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E785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B8019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A3FA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6499C">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168BF">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3925CC">
            <w:pPr>
              <w:jc w:val="center"/>
            </w:pPr>
          </w:p>
        </w:tc>
      </w:tr>
      <w:tr w14:paraId="5CD9CF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B923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3F5ED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E00BB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D81214">
            <w:pPr>
              <w:jc w:val="center"/>
            </w:pPr>
            <w:r>
              <w:rPr>
                <w:rFonts w:ascii="宋体" w:hAnsi="宋体" w:eastAsia="宋体"/>
                <w:sz w:val="16"/>
              </w:rPr>
              <w:t>项目资金保障率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CCB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CD60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9E9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98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A84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6D2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C35E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BC3E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5CFE16">
            <w:pPr>
              <w:jc w:val="center"/>
            </w:pPr>
          </w:p>
        </w:tc>
      </w:tr>
      <w:tr w14:paraId="3FD427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3C510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E9212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4403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082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2BC2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446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DE19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B80E0">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73FF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3BC5E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A1F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CAA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AF4945">
            <w:pPr>
              <w:jc w:val="center"/>
            </w:pPr>
          </w:p>
        </w:tc>
      </w:tr>
      <w:tr w14:paraId="174A38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DB1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B46F6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4306E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A9A26">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718E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98E1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2D2067">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F5F6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1BD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858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5CB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70F08">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CDA2BE">
            <w:pPr>
              <w:jc w:val="center"/>
            </w:pPr>
          </w:p>
        </w:tc>
      </w:tr>
      <w:tr w14:paraId="1C4968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8DB1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F23394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11EE9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7939">
            <w:pPr>
              <w:jc w:val="center"/>
            </w:pPr>
            <w:r>
              <w:rPr>
                <w:rFonts w:ascii="宋体" w:hAnsi="宋体" w:eastAsia="宋体"/>
                <w:sz w:val="16"/>
              </w:rPr>
              <w:t>资金支付完成时间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B501">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15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416A78">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BD8D9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3179C">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F03FB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2745">
            <w:pPr>
              <w:jc w:val="center"/>
            </w:pPr>
            <w:r>
              <w:rPr>
                <w:rFonts w:ascii="宋体" w:hAnsi="宋体" w:eastAsia="宋体"/>
                <w:sz w:val="16"/>
              </w:rPr>
              <w:t>=2024年12月21日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9FDC5">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CBB4FF">
            <w:pPr>
              <w:jc w:val="center"/>
            </w:pPr>
          </w:p>
        </w:tc>
      </w:tr>
      <w:tr w14:paraId="119D11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A0C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0FBCAF">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FD94F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5B38">
            <w:pPr>
              <w:jc w:val="center"/>
            </w:pPr>
            <w:r>
              <w:rPr>
                <w:rFonts w:ascii="宋体" w:hAnsi="宋体" w:eastAsia="宋体"/>
                <w:sz w:val="16"/>
              </w:rPr>
              <w:t>2024年度乡村振兴部分预算控制数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A41B07">
            <w:pPr>
              <w:jc w:val="center"/>
            </w:pPr>
            <w:r>
              <w:rPr>
                <w:rFonts w:ascii="宋体" w:hAnsi="宋体" w:eastAsia="宋体"/>
                <w:sz w:val="16"/>
              </w:rPr>
              <w:t>&lt;=204.99万元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92C7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E4C8B9">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AB58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49EB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723E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78E0F">
            <w:pPr>
              <w:jc w:val="center"/>
            </w:pPr>
            <w:r>
              <w:rPr>
                <w:rFonts w:ascii="宋体" w:hAnsi="宋体" w:eastAsia="宋体"/>
                <w:sz w:val="16"/>
              </w:rPr>
              <w:t>=204.99万元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EB3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35699E">
            <w:pPr>
              <w:jc w:val="center"/>
            </w:pPr>
          </w:p>
        </w:tc>
      </w:tr>
      <w:tr w14:paraId="148EE0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122B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B3B7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A4BF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C0EA5F">
            <w:pPr>
              <w:jc w:val="center"/>
            </w:pPr>
            <w:r>
              <w:rPr>
                <w:rFonts w:ascii="宋体" w:hAnsi="宋体" w:eastAsia="宋体"/>
                <w:sz w:val="16"/>
              </w:rPr>
              <w:t>2023年度乡村振兴部分预算控制数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CAC179">
            <w:pPr>
              <w:jc w:val="center"/>
            </w:pPr>
            <w:r>
              <w:rPr>
                <w:rFonts w:ascii="宋体" w:hAnsi="宋体" w:eastAsia="宋体"/>
                <w:sz w:val="16"/>
              </w:rPr>
              <w:t>&lt;=99.6万元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D2A5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2C865">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7BA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19E1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1504D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87F0D">
            <w:pPr>
              <w:jc w:val="center"/>
            </w:pPr>
            <w:r>
              <w:rPr>
                <w:rFonts w:ascii="宋体" w:hAnsi="宋体" w:eastAsia="宋体"/>
                <w:sz w:val="16"/>
              </w:rPr>
              <w:t>=99.6万元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85E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79A2FB">
            <w:pPr>
              <w:jc w:val="center"/>
            </w:pPr>
          </w:p>
        </w:tc>
      </w:tr>
      <w:tr w14:paraId="2951CB7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0F29E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4FFF9">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51C2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7E4DE7">
            <w:pPr>
              <w:jc w:val="center"/>
            </w:pPr>
            <w:r>
              <w:rPr>
                <w:rFonts w:ascii="宋体" w:hAnsi="宋体" w:eastAsia="宋体"/>
                <w:sz w:val="16"/>
              </w:rPr>
              <w:t>推动受援地经济发展和民生改善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5C7FC9">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F90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8D4AF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F9BB6">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C948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5F8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24F5E">
            <w:pPr>
              <w:jc w:val="center"/>
            </w:pPr>
            <w:r>
              <w:rPr>
                <w:rFonts w:ascii="宋体" w:hAnsi="宋体" w:eastAsia="宋体"/>
                <w:sz w:val="16"/>
              </w:rPr>
              <w:t>有效推动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D8526C">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DC9E50">
            <w:pPr>
              <w:jc w:val="center"/>
            </w:pPr>
          </w:p>
        </w:tc>
      </w:tr>
      <w:tr w14:paraId="5B22ECF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48EB0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41E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1FE35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4911B8">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040B1D3"/>
        </w:tc>
      </w:tr>
    </w:tbl>
    <w:p w14:paraId="1E8D936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14:paraId="067F070F">
        <w:tblPrEx>
          <w:tblCellMar>
            <w:top w:w="0" w:type="dxa"/>
            <w:left w:w="108" w:type="dxa"/>
            <w:bottom w:w="0" w:type="dxa"/>
            <w:right w:w="108" w:type="dxa"/>
          </w:tblCellMar>
        </w:tblPrEx>
        <w:tc>
          <w:tcPr>
            <w:tcW w:w="8848" w:type="dxa"/>
            <w:gridSpan w:val="14"/>
            <w:vAlign w:val="center"/>
          </w:tcPr>
          <w:p w14:paraId="0646C3A5">
            <w:pPr>
              <w:jc w:val="center"/>
            </w:pPr>
            <w:r>
              <w:rPr>
                <w:rFonts w:ascii="宋体" w:hAnsi="宋体" w:eastAsia="宋体"/>
                <w:sz w:val="24"/>
              </w:rPr>
              <w:t>项目支出绩效自评表</w:t>
            </w:r>
          </w:p>
        </w:tc>
      </w:tr>
      <w:tr w14:paraId="1B7CF9F1">
        <w:tblPrEx>
          <w:tblCellMar>
            <w:top w:w="0" w:type="dxa"/>
            <w:left w:w="108" w:type="dxa"/>
            <w:bottom w:w="0" w:type="dxa"/>
            <w:right w:w="108" w:type="dxa"/>
          </w:tblCellMar>
        </w:tblPrEx>
        <w:tc>
          <w:tcPr>
            <w:tcW w:w="8848" w:type="dxa"/>
            <w:gridSpan w:val="14"/>
            <w:vAlign w:val="center"/>
          </w:tcPr>
          <w:p w14:paraId="3C3AF0DB">
            <w:pPr>
              <w:jc w:val="center"/>
            </w:pPr>
            <w:r>
              <w:rPr>
                <w:rFonts w:ascii="宋体" w:hAnsi="宋体" w:eastAsia="宋体"/>
                <w:sz w:val="24"/>
              </w:rPr>
              <w:t>(2024年度)</w:t>
            </w:r>
          </w:p>
        </w:tc>
      </w:tr>
      <w:tr w14:paraId="18B6FB2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9B57">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E6C6454">
            <w:pPr>
              <w:jc w:val="center"/>
            </w:pPr>
            <w:r>
              <w:rPr>
                <w:rFonts w:ascii="宋体" w:hAnsi="宋体" w:eastAsia="宋体"/>
                <w:sz w:val="16"/>
              </w:rPr>
              <w:t>岳普湖县也克先拜巴扎镇乌苏特村休闲广场建设项目</w:t>
            </w:r>
          </w:p>
        </w:tc>
      </w:tr>
      <w:tr w14:paraId="5E5E7A6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5AEF5">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70F242F">
            <w:pPr>
              <w:jc w:val="center"/>
            </w:pPr>
            <w:r>
              <w:rPr>
                <w:rFonts w:ascii="宋体" w:hAnsi="宋体" w:eastAsia="宋体"/>
                <w:sz w:val="16"/>
              </w:rPr>
              <w:t>岳普湖县也克先拜巴扎镇人民政府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26872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42A0CAB1">
            <w:pPr>
              <w:jc w:val="center"/>
            </w:pPr>
            <w:r>
              <w:rPr>
                <w:rFonts w:ascii="宋体" w:hAnsi="宋体" w:eastAsia="宋体"/>
                <w:sz w:val="16"/>
              </w:rPr>
              <w:t>岳普湖县也克先拜巴扎镇人民政府</w:t>
            </w:r>
          </w:p>
        </w:tc>
      </w:tr>
      <w:tr w14:paraId="65EB249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DEAB22">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2FE16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29112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8AEAC1">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3787C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5E88D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02555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FA93D">
            <w:pPr>
              <w:jc w:val="center"/>
            </w:pPr>
            <w:r>
              <w:rPr>
                <w:rFonts w:ascii="宋体" w:hAnsi="宋体" w:eastAsia="宋体"/>
                <w:sz w:val="16"/>
              </w:rPr>
              <w:t>得分</w:t>
            </w:r>
          </w:p>
        </w:tc>
      </w:tr>
      <w:tr w14:paraId="5E068B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8BF81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5BC76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F14F9">
            <w:pPr>
              <w:jc w:val="center"/>
            </w:pPr>
            <w:r>
              <w:rPr>
                <w:rFonts w:ascii="宋体" w:hAnsi="宋体" w:eastAsia="宋体"/>
                <w:sz w:val="16"/>
              </w:rPr>
              <w:t>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BACF6D">
            <w:pPr>
              <w:jc w:val="center"/>
            </w:pPr>
            <w:r>
              <w:rPr>
                <w:rFonts w:ascii="宋体" w:hAnsi="宋体" w:eastAsia="宋体"/>
                <w:sz w:val="16"/>
              </w:rPr>
              <w:t>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44388F">
            <w:pPr>
              <w:jc w:val="center"/>
            </w:pPr>
            <w:r>
              <w:rPr>
                <w:rFonts w:ascii="宋体" w:hAnsi="宋体" w:eastAsia="宋体"/>
                <w:sz w:val="16"/>
              </w:rPr>
              <w:t>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6B395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C53D8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7DBDC">
            <w:pPr>
              <w:jc w:val="center"/>
            </w:pPr>
            <w:r>
              <w:rPr>
                <w:rFonts w:ascii="宋体" w:hAnsi="宋体" w:eastAsia="宋体"/>
                <w:sz w:val="16"/>
              </w:rPr>
              <w:t>10.00分</w:t>
            </w:r>
          </w:p>
        </w:tc>
      </w:tr>
      <w:tr w14:paraId="236A39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CA26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FB6510">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1BA81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448A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6CE67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96871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0409F">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EDAA">
            <w:pPr>
              <w:jc w:val="center"/>
            </w:pPr>
            <w:r>
              <w:rPr>
                <w:rFonts w:ascii="宋体" w:hAnsi="宋体" w:eastAsia="宋体"/>
                <w:sz w:val="16"/>
              </w:rPr>
              <w:t>—</w:t>
            </w:r>
          </w:p>
        </w:tc>
      </w:tr>
      <w:tr w14:paraId="67D6FC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DE96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7449D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6EB011">
            <w:pPr>
              <w:jc w:val="center"/>
            </w:pPr>
            <w:r>
              <w:rPr>
                <w:rFonts w:ascii="宋体" w:hAnsi="宋体" w:eastAsia="宋体"/>
                <w:sz w:val="16"/>
              </w:rPr>
              <w:t>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7BF0B4">
            <w:pPr>
              <w:jc w:val="center"/>
            </w:pPr>
            <w:r>
              <w:rPr>
                <w:rFonts w:ascii="宋体" w:hAnsi="宋体" w:eastAsia="宋体"/>
                <w:sz w:val="16"/>
              </w:rPr>
              <w:t>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F9223C">
            <w:pPr>
              <w:jc w:val="center"/>
            </w:pPr>
            <w:r>
              <w:rPr>
                <w:rFonts w:ascii="宋体" w:hAnsi="宋体" w:eastAsia="宋体"/>
                <w:sz w:val="16"/>
              </w:rPr>
              <w:t>89.68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EE105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1C993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D46C9">
            <w:pPr>
              <w:jc w:val="center"/>
            </w:pPr>
            <w:r>
              <w:rPr>
                <w:rFonts w:ascii="宋体" w:hAnsi="宋体" w:eastAsia="宋体"/>
                <w:sz w:val="16"/>
              </w:rPr>
              <w:t>—</w:t>
            </w:r>
          </w:p>
        </w:tc>
      </w:tr>
      <w:tr w14:paraId="0DAAAF6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15DD10">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F226002">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EB58FD">
            <w:pPr>
              <w:jc w:val="center"/>
            </w:pPr>
            <w:r>
              <w:rPr>
                <w:rFonts w:ascii="宋体" w:hAnsi="宋体" w:eastAsia="宋体"/>
                <w:sz w:val="16"/>
              </w:rPr>
              <w:t>实际完成情况</w:t>
            </w:r>
          </w:p>
        </w:tc>
      </w:tr>
      <w:tr w14:paraId="3C1885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E408D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35D391A">
            <w:pPr>
              <w:jc w:val="both"/>
            </w:pPr>
            <w:r>
              <w:rPr>
                <w:rFonts w:ascii="宋体" w:hAnsi="宋体" w:eastAsia="宋体"/>
                <w:sz w:val="16"/>
              </w:rPr>
              <w:t>根据岳普湖县实际情况，为岳普湖县乌苏特（6）村实施休闲广场建设工程，实施清水池建设、绿化管网布设、景观带建设、喷泉建设、木栈道建设及灯具安装等内容。本年度支付除3%质保金之外的项目工程款。项目建设工程数量1个。通过项目的实施提升乡村居民生活质量，丰富乡村居民业余生活。</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8053285">
            <w:pPr>
              <w:jc w:val="both"/>
            </w:pPr>
            <w:r>
              <w:rPr>
                <w:rFonts w:ascii="宋体" w:hAnsi="宋体" w:eastAsia="宋体"/>
                <w:sz w:val="16"/>
              </w:rPr>
              <w:t>项目已完成岳普湖县乌苏特（6）村实施休闲广场建设工程，完成本年度除3%质保金之外的项目工程款支付任务。项目建设工程数量1个。预算执行率100%。通过项目的实施有效提升乡村居民生活质量，丰富乡村居民业余生活。项目的受益人员满意度为100%。</w:t>
            </w:r>
          </w:p>
        </w:tc>
      </w:tr>
      <w:tr w14:paraId="3E6F42F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E3A221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C42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6E19E">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4B0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A08E70">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EC0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8276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6728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6D732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67BA58">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2516D">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02B8A">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AC511E">
            <w:pPr>
              <w:jc w:val="center"/>
            </w:pPr>
            <w:r>
              <w:rPr>
                <w:rFonts w:ascii="宋体" w:hAnsi="宋体" w:eastAsia="宋体"/>
                <w:sz w:val="16"/>
              </w:rPr>
              <w:t>偏差原因分析及改进措施</w:t>
            </w:r>
          </w:p>
        </w:tc>
      </w:tr>
      <w:tr w14:paraId="77BE73B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1B3868">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5DBC0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18937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424FD">
            <w:pPr>
              <w:jc w:val="center"/>
            </w:pPr>
            <w:r>
              <w:rPr>
                <w:rFonts w:ascii="宋体" w:hAnsi="宋体" w:eastAsia="宋体"/>
                <w:sz w:val="16"/>
              </w:rPr>
              <w:t>项目建设工程数量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EE13D">
            <w:pPr>
              <w:jc w:val="center"/>
            </w:pPr>
            <w:r>
              <w:rPr>
                <w:rFonts w:ascii="宋体" w:hAnsi="宋体" w:eastAsia="宋体"/>
                <w:sz w:val="16"/>
              </w:rPr>
              <w:t>&gt;=1个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3E1E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2D2F">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7C4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7147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F743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16691">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9B0D49">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6EDF4F">
            <w:pPr>
              <w:jc w:val="center"/>
            </w:pPr>
          </w:p>
        </w:tc>
      </w:tr>
      <w:tr w14:paraId="031E72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421A0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41386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D62F8B">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FD960">
            <w:pPr>
              <w:jc w:val="center"/>
            </w:pPr>
            <w:r>
              <w:rPr>
                <w:rFonts w:ascii="宋体" w:hAnsi="宋体" w:eastAsia="宋体"/>
                <w:sz w:val="16"/>
              </w:rPr>
              <w:t>项目验收合格率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D79A2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8D4AD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410B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E5A54">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9C84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B2D0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F1C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6A1AC">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5FA9B0">
            <w:pPr>
              <w:jc w:val="center"/>
            </w:pPr>
          </w:p>
        </w:tc>
      </w:tr>
      <w:tr w14:paraId="55CD789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0DF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57C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B5C38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10CD6D">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F25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D42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B762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982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6522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F8C6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9D50A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FC6FB">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5CE986">
            <w:pPr>
              <w:jc w:val="center"/>
            </w:pPr>
          </w:p>
        </w:tc>
      </w:tr>
      <w:tr w14:paraId="5CB489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CB91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9039B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C76AB7">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5163B8">
            <w:pPr>
              <w:jc w:val="center"/>
            </w:pPr>
            <w:r>
              <w:rPr>
                <w:rFonts w:ascii="宋体" w:hAnsi="宋体" w:eastAsia="宋体"/>
                <w:sz w:val="16"/>
              </w:rPr>
              <w:t>资金支付及时性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0F10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40EC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F1BD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47D3D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1D94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891F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DE3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E4D04">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D53E56">
            <w:pPr>
              <w:jc w:val="center"/>
            </w:pPr>
          </w:p>
        </w:tc>
      </w:tr>
      <w:tr w14:paraId="71685E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2DFB1E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B3B0E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059A6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C3E61">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817C4">
            <w:pPr>
              <w:jc w:val="center"/>
            </w:pPr>
            <w:r>
              <w:rPr>
                <w:rFonts w:ascii="宋体" w:hAnsi="宋体" w:eastAsia="宋体"/>
                <w:sz w:val="16"/>
              </w:rPr>
              <w:t>=2024年12月30日前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A493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F0CB3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2EC2C">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51E6FE">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43DA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DC099">
            <w:pPr>
              <w:jc w:val="center"/>
            </w:pPr>
            <w:r>
              <w:rPr>
                <w:rFonts w:ascii="宋体" w:hAnsi="宋体" w:eastAsia="宋体"/>
                <w:sz w:val="16"/>
              </w:rPr>
              <w:t>=2024年5月3日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FE7C0">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78EA36">
            <w:pPr>
              <w:jc w:val="center"/>
            </w:pPr>
          </w:p>
        </w:tc>
      </w:tr>
      <w:tr w14:paraId="6FEBA6A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63C0D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FCE69">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A6A28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3F4880">
            <w:pPr>
              <w:jc w:val="center"/>
            </w:pPr>
            <w:r>
              <w:rPr>
                <w:rFonts w:ascii="宋体" w:hAnsi="宋体" w:eastAsia="宋体"/>
                <w:sz w:val="16"/>
              </w:rPr>
              <w:t>项目建设预算控制数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7067D">
            <w:pPr>
              <w:jc w:val="center"/>
            </w:pPr>
            <w:r>
              <w:rPr>
                <w:rFonts w:ascii="宋体" w:hAnsi="宋体" w:eastAsia="宋体"/>
                <w:sz w:val="16"/>
              </w:rPr>
              <w:t>&lt;=89.69万元/个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6D0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91654">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C39C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D841E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EE4580">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702AA">
            <w:pPr>
              <w:jc w:val="center"/>
            </w:pPr>
            <w:r>
              <w:rPr>
                <w:rFonts w:ascii="宋体" w:hAnsi="宋体" w:eastAsia="宋体"/>
                <w:sz w:val="16"/>
              </w:rPr>
              <w:t>=89.69万元/个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6462A">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EB03D">
            <w:pPr>
              <w:jc w:val="center"/>
            </w:pPr>
          </w:p>
        </w:tc>
      </w:tr>
      <w:tr w14:paraId="73F0A16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62C0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66B72">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72E0FF">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A78A5">
            <w:pPr>
              <w:jc w:val="center"/>
            </w:pPr>
            <w:r>
              <w:rPr>
                <w:rFonts w:ascii="宋体" w:hAnsi="宋体" w:eastAsia="宋体"/>
                <w:sz w:val="16"/>
              </w:rPr>
              <w:t>提升乡村居民生活质量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8031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5AFD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CF721">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6184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BB5A72">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8D1E9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7ADB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B1221">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D4BDC">
            <w:pPr>
              <w:jc w:val="center"/>
            </w:pPr>
          </w:p>
        </w:tc>
      </w:tr>
      <w:tr w14:paraId="61F807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46CF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CA3D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5E5A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5C336">
            <w:pPr>
              <w:jc w:val="center"/>
            </w:pPr>
            <w:r>
              <w:rPr>
                <w:rFonts w:ascii="宋体" w:hAnsi="宋体" w:eastAsia="宋体"/>
                <w:sz w:val="16"/>
              </w:rPr>
              <w:t>受益居民满意度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793AB">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081A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DEF4D">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A989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84C61">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2DA5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BF3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8DE4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DA819">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6B6D525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272E37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161BF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9B895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B50EB">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2F0938A"/>
        </w:tc>
      </w:tr>
    </w:tbl>
    <w:p w14:paraId="6A3AF3EA">
      <w:r>
        <w:br w:type="page"/>
      </w:r>
    </w:p>
    <w:tbl>
      <w:tblPr>
        <w:tblStyle w:val="9"/>
        <w:tblW w:w="9312" w:type="dxa"/>
        <w:tblInd w:w="0" w:type="dxa"/>
        <w:tblLayout w:type="autofit"/>
        <w:tblCellMar>
          <w:top w:w="0" w:type="dxa"/>
          <w:left w:w="108" w:type="dxa"/>
          <w:bottom w:w="0" w:type="dxa"/>
          <w:right w:w="108" w:type="dxa"/>
        </w:tblCellMar>
      </w:tblPr>
      <w:tblGrid>
        <w:gridCol w:w="626"/>
        <w:gridCol w:w="616"/>
        <w:gridCol w:w="616"/>
        <w:gridCol w:w="616"/>
        <w:gridCol w:w="856"/>
        <w:gridCol w:w="616"/>
        <w:gridCol w:w="616"/>
        <w:gridCol w:w="621"/>
        <w:gridCol w:w="616"/>
        <w:gridCol w:w="616"/>
        <w:gridCol w:w="777"/>
        <w:gridCol w:w="633"/>
        <w:gridCol w:w="603"/>
        <w:gridCol w:w="632"/>
        <w:gridCol w:w="252"/>
      </w:tblGrid>
      <w:tr w14:paraId="7841A165">
        <w:tblPrEx>
          <w:tblCellMar>
            <w:top w:w="0" w:type="dxa"/>
            <w:left w:w="108" w:type="dxa"/>
            <w:bottom w:w="0" w:type="dxa"/>
            <w:right w:w="108" w:type="dxa"/>
          </w:tblCellMar>
        </w:tblPrEx>
        <w:trPr>
          <w:gridAfter w:val="1"/>
          <w:wAfter w:w="252" w:type="dxa"/>
        </w:trPr>
        <w:tc>
          <w:tcPr>
            <w:tcW w:w="9060" w:type="dxa"/>
            <w:gridSpan w:val="14"/>
            <w:vAlign w:val="center"/>
          </w:tcPr>
          <w:p w14:paraId="3D93BC02">
            <w:pPr>
              <w:jc w:val="center"/>
            </w:pPr>
            <w:r>
              <w:rPr>
                <w:rFonts w:ascii="宋体" w:hAnsi="宋体" w:eastAsia="宋体"/>
                <w:sz w:val="24"/>
              </w:rPr>
              <w:t>项目支出绩效自评表</w:t>
            </w:r>
          </w:p>
        </w:tc>
      </w:tr>
      <w:tr w14:paraId="67B40DB1">
        <w:tblPrEx>
          <w:tblCellMar>
            <w:top w:w="0" w:type="dxa"/>
            <w:left w:w="108" w:type="dxa"/>
            <w:bottom w:w="0" w:type="dxa"/>
            <w:right w:w="108" w:type="dxa"/>
          </w:tblCellMar>
        </w:tblPrEx>
        <w:trPr>
          <w:gridAfter w:val="1"/>
          <w:wAfter w:w="252" w:type="dxa"/>
        </w:trPr>
        <w:tc>
          <w:tcPr>
            <w:tcW w:w="9060" w:type="dxa"/>
            <w:gridSpan w:val="14"/>
            <w:vAlign w:val="center"/>
          </w:tcPr>
          <w:p w14:paraId="6B09F30E">
            <w:pPr>
              <w:jc w:val="center"/>
            </w:pPr>
            <w:r>
              <w:rPr>
                <w:rFonts w:ascii="宋体" w:hAnsi="宋体" w:eastAsia="宋体"/>
                <w:sz w:val="24"/>
              </w:rPr>
              <w:t>(2024年度)</w:t>
            </w:r>
          </w:p>
        </w:tc>
      </w:tr>
      <w:tr w14:paraId="7C17C731">
        <w:tblPrEx>
          <w:tblCellMar>
            <w:top w:w="0" w:type="dxa"/>
            <w:left w:w="108" w:type="dxa"/>
            <w:bottom w:w="0" w:type="dxa"/>
            <w:right w:w="108" w:type="dxa"/>
          </w:tblCellMar>
        </w:tblPrEx>
        <w:trPr>
          <w:gridAfter w:val="1"/>
          <w:wAfter w:w="252" w:type="dxa"/>
        </w:trPr>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178F548C">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4429CD">
            <w:pPr>
              <w:jc w:val="center"/>
            </w:pPr>
            <w:r>
              <w:rPr>
                <w:rFonts w:ascii="宋体" w:hAnsi="宋体" w:eastAsia="宋体"/>
                <w:sz w:val="16"/>
              </w:rPr>
              <w:t>岳普湖县也克先拜巴扎镇乌苏特村基础设施升级项目</w:t>
            </w:r>
          </w:p>
        </w:tc>
      </w:tr>
      <w:tr w14:paraId="421D65E9">
        <w:tblPrEx>
          <w:tblCellMar>
            <w:top w:w="0" w:type="dxa"/>
            <w:left w:w="108" w:type="dxa"/>
            <w:bottom w:w="0" w:type="dxa"/>
            <w:right w:w="108" w:type="dxa"/>
          </w:tblCellMar>
        </w:tblPrEx>
        <w:trPr>
          <w:gridAfter w:val="1"/>
          <w:wAfter w:w="252" w:type="dxa"/>
        </w:trPr>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14:paraId="2B1C1F1B">
            <w:pPr>
              <w:jc w:val="center"/>
            </w:pPr>
            <w:r>
              <w:rPr>
                <w:rFonts w:ascii="宋体" w:hAnsi="宋体" w:eastAsia="宋体"/>
                <w:sz w:val="16"/>
              </w:rPr>
              <w:t>主管部门</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AE4B09">
            <w:pPr>
              <w:jc w:val="center"/>
            </w:pPr>
            <w:r>
              <w:rPr>
                <w:rFonts w:ascii="宋体" w:hAnsi="宋体" w:eastAsia="宋体"/>
                <w:sz w:val="16"/>
              </w:rPr>
              <w:t>岳普湖县也克先拜巴扎镇人民政府</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8D7AEAA">
            <w:pPr>
              <w:jc w:val="center"/>
            </w:pPr>
            <w:r>
              <w:rPr>
                <w:rFonts w:ascii="宋体" w:hAnsi="宋体" w:eastAsia="宋体"/>
                <w:sz w:val="16"/>
              </w:rPr>
              <w:t>实施单位</w:t>
            </w:r>
          </w:p>
        </w:tc>
        <w:tc>
          <w:tcPr>
            <w:tcW w:w="326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D6A22A0">
            <w:pPr>
              <w:jc w:val="center"/>
            </w:pPr>
            <w:r>
              <w:rPr>
                <w:rFonts w:ascii="宋体" w:hAnsi="宋体" w:eastAsia="宋体"/>
                <w:sz w:val="16"/>
              </w:rPr>
              <w:t>岳普湖县也克先拜巴扎镇人民政府</w:t>
            </w:r>
          </w:p>
        </w:tc>
      </w:tr>
      <w:tr w14:paraId="6775DA7E">
        <w:tblPrEx>
          <w:tblCellMar>
            <w:top w:w="0" w:type="dxa"/>
            <w:left w:w="108" w:type="dxa"/>
            <w:bottom w:w="0" w:type="dxa"/>
            <w:right w:w="108" w:type="dxa"/>
          </w:tblCellMar>
        </w:tblPrEx>
        <w:trPr>
          <w:gridAfter w:val="1"/>
          <w:wAfter w:w="252" w:type="dxa"/>
        </w:trPr>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427EFD">
            <w:pPr>
              <w:jc w:val="center"/>
            </w:pPr>
            <w:r>
              <w:rPr>
                <w:rFonts w:ascii="宋体" w:hAnsi="宋体" w:eastAsia="宋体"/>
                <w:sz w:val="16"/>
              </w:rPr>
              <w:t>项目资金 （万元）</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BC87F1">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F813A8">
            <w:pPr>
              <w:jc w:val="center"/>
            </w:pPr>
            <w:r>
              <w:rPr>
                <w:rFonts w:ascii="宋体" w:hAnsi="宋体" w:eastAsia="宋体"/>
                <w:sz w:val="16"/>
              </w:rPr>
              <w:t>年初预算数</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818EB">
            <w:pPr>
              <w:jc w:val="center"/>
            </w:pPr>
            <w:r>
              <w:rPr>
                <w:rFonts w:ascii="宋体" w:hAnsi="宋体" w:eastAsia="宋体"/>
                <w:sz w:val="16"/>
              </w:rPr>
              <w:t>全年预算数</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2FAE0">
            <w:pPr>
              <w:jc w:val="center"/>
            </w:pPr>
            <w:r>
              <w:rPr>
                <w:rFonts w:ascii="宋体" w:hAnsi="宋体" w:eastAsia="宋体"/>
                <w:sz w:val="16"/>
              </w:rPr>
              <w:t>全年执行数</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B4CD6">
            <w:pPr>
              <w:jc w:val="center"/>
            </w:pPr>
            <w:r>
              <w:rPr>
                <w:rFonts w:ascii="宋体" w:hAnsi="宋体" w:eastAsia="宋体"/>
                <w:sz w:val="16"/>
              </w:rPr>
              <w:t>分值</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FD036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2E5DE">
            <w:pPr>
              <w:jc w:val="center"/>
            </w:pPr>
            <w:r>
              <w:rPr>
                <w:rFonts w:ascii="宋体" w:hAnsi="宋体" w:eastAsia="宋体"/>
                <w:sz w:val="16"/>
              </w:rPr>
              <w:t>得分</w:t>
            </w:r>
          </w:p>
        </w:tc>
      </w:tr>
      <w:tr w14:paraId="64489847">
        <w:tblPrEx>
          <w:tblCellMar>
            <w:top w:w="0" w:type="dxa"/>
            <w:left w:w="108" w:type="dxa"/>
            <w:bottom w:w="0" w:type="dxa"/>
            <w:right w:w="108" w:type="dxa"/>
          </w:tblCellMar>
        </w:tblPrEx>
        <w:trPr>
          <w:gridAfter w:val="1"/>
          <w:wAfter w:w="252"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5D9C7AB4"/>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E58B87">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286EC">
            <w:pPr>
              <w:jc w:val="center"/>
            </w:pPr>
            <w:r>
              <w:rPr>
                <w:rFonts w:ascii="宋体" w:hAnsi="宋体" w:eastAsia="宋体"/>
                <w:sz w:val="16"/>
              </w:rPr>
              <w:t>307.18</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D0C877">
            <w:pPr>
              <w:jc w:val="center"/>
            </w:pPr>
            <w:r>
              <w:rPr>
                <w:rFonts w:ascii="宋体" w:hAnsi="宋体" w:eastAsia="宋体"/>
                <w:sz w:val="16"/>
              </w:rPr>
              <w:t>307.18</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779C29">
            <w:pPr>
              <w:jc w:val="center"/>
            </w:pPr>
            <w:r>
              <w:rPr>
                <w:rFonts w:ascii="宋体" w:hAnsi="宋体" w:eastAsia="宋体"/>
                <w:sz w:val="16"/>
              </w:rPr>
              <w:t>307.18</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C8E6EA">
            <w:pPr>
              <w:jc w:val="center"/>
            </w:pPr>
            <w:r>
              <w:rPr>
                <w:rFonts w:ascii="宋体" w:hAnsi="宋体" w:eastAsia="宋体"/>
                <w:sz w:val="16"/>
              </w:rPr>
              <w:t>10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D1D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C7C6D">
            <w:pPr>
              <w:jc w:val="center"/>
            </w:pPr>
            <w:r>
              <w:rPr>
                <w:rFonts w:ascii="宋体" w:hAnsi="宋体" w:eastAsia="宋体"/>
                <w:sz w:val="16"/>
              </w:rPr>
              <w:t>10.00分</w:t>
            </w:r>
          </w:p>
        </w:tc>
      </w:tr>
      <w:tr w14:paraId="4998C8CD">
        <w:tblPrEx>
          <w:tblCellMar>
            <w:top w:w="0" w:type="dxa"/>
            <w:left w:w="108" w:type="dxa"/>
            <w:bottom w:w="0" w:type="dxa"/>
            <w:right w:w="108" w:type="dxa"/>
          </w:tblCellMar>
        </w:tblPrEx>
        <w:trPr>
          <w:gridAfter w:val="1"/>
          <w:wAfter w:w="252"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3058B24"/>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64CF43">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802D1AC">
            <w:pPr>
              <w:jc w:val="center"/>
            </w:pPr>
            <w:r>
              <w:rPr>
                <w:rFonts w:ascii="宋体" w:hAnsi="宋体" w:eastAsia="宋体"/>
                <w:sz w:val="16"/>
              </w:rPr>
              <w:t>0.00</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4B7495">
            <w:pPr>
              <w:jc w:val="center"/>
            </w:pPr>
            <w:r>
              <w:rPr>
                <w:rFonts w:ascii="宋体" w:hAnsi="宋体" w:eastAsia="宋体"/>
                <w:sz w:val="16"/>
              </w:rPr>
              <w:t>0.00</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107D23">
            <w:pPr>
              <w:jc w:val="center"/>
            </w:pPr>
            <w:r>
              <w:rPr>
                <w:rFonts w:ascii="宋体" w:hAnsi="宋体" w:eastAsia="宋体"/>
                <w:sz w:val="16"/>
              </w:rPr>
              <w:t>0.00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A8BC3E">
            <w:pPr>
              <w:jc w:val="center"/>
            </w:pPr>
            <w:r>
              <w:rPr>
                <w:rFonts w:ascii="宋体" w:hAnsi="宋体" w:eastAsia="宋体"/>
                <w:sz w:val="16"/>
              </w:rPr>
              <w:t>—</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144B6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B2D5B">
            <w:pPr>
              <w:jc w:val="center"/>
            </w:pPr>
            <w:r>
              <w:rPr>
                <w:rFonts w:ascii="宋体" w:hAnsi="宋体" w:eastAsia="宋体"/>
                <w:sz w:val="16"/>
              </w:rPr>
              <w:t>—</w:t>
            </w:r>
          </w:p>
        </w:tc>
      </w:tr>
      <w:tr w14:paraId="413EC91F">
        <w:tblPrEx>
          <w:tblCellMar>
            <w:top w:w="0" w:type="dxa"/>
            <w:left w:w="108" w:type="dxa"/>
            <w:bottom w:w="0" w:type="dxa"/>
            <w:right w:w="108" w:type="dxa"/>
          </w:tblCellMar>
        </w:tblPrEx>
        <w:trPr>
          <w:gridAfter w:val="1"/>
          <w:wAfter w:w="252"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88FAA1D"/>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90A9E">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30B2A">
            <w:pPr>
              <w:jc w:val="center"/>
            </w:pPr>
            <w:r>
              <w:rPr>
                <w:rFonts w:ascii="宋体" w:hAnsi="宋体" w:eastAsia="宋体"/>
                <w:sz w:val="16"/>
              </w:rPr>
              <w:t>307.18</w:t>
            </w:r>
          </w:p>
        </w:tc>
        <w:tc>
          <w:tcPr>
            <w:tcW w:w="123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C33878">
            <w:pPr>
              <w:jc w:val="center"/>
            </w:pPr>
            <w:r>
              <w:rPr>
                <w:rFonts w:ascii="宋体" w:hAnsi="宋体" w:eastAsia="宋体"/>
                <w:sz w:val="16"/>
              </w:rPr>
              <w:t>307.18</w:t>
            </w:r>
          </w:p>
        </w:tc>
        <w:tc>
          <w:tcPr>
            <w:tcW w:w="123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EE7DEA">
            <w:pPr>
              <w:jc w:val="center"/>
            </w:pPr>
            <w:r>
              <w:rPr>
                <w:rFonts w:ascii="宋体" w:hAnsi="宋体" w:eastAsia="宋体"/>
                <w:sz w:val="16"/>
              </w:rPr>
              <w:t>307.18</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552039">
            <w:pPr>
              <w:jc w:val="center"/>
            </w:pPr>
            <w:r>
              <w:rPr>
                <w:rFonts w:ascii="宋体" w:hAnsi="宋体" w:eastAsia="宋体"/>
                <w:sz w:val="16"/>
              </w:rPr>
              <w:t>—</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A5EF3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A0947">
            <w:pPr>
              <w:jc w:val="center"/>
            </w:pPr>
            <w:r>
              <w:rPr>
                <w:rFonts w:ascii="宋体" w:hAnsi="宋体" w:eastAsia="宋体"/>
                <w:sz w:val="16"/>
              </w:rPr>
              <w:t>—</w:t>
            </w:r>
          </w:p>
        </w:tc>
      </w:tr>
      <w:tr w14:paraId="0D7C06A9">
        <w:tblPrEx>
          <w:tblCellMar>
            <w:top w:w="0" w:type="dxa"/>
            <w:left w:w="108" w:type="dxa"/>
            <w:bottom w:w="0" w:type="dxa"/>
            <w:right w:w="108" w:type="dxa"/>
          </w:tblCellMar>
        </w:tblPrEx>
        <w:trPr>
          <w:gridAfter w:val="1"/>
          <w:wAfter w:w="252" w:type="dxa"/>
        </w:trPr>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0EDCE5">
            <w:pPr>
              <w:jc w:val="center"/>
            </w:pPr>
            <w:r>
              <w:rPr>
                <w:rFonts w:ascii="宋体" w:hAnsi="宋体" w:eastAsia="宋体"/>
                <w:sz w:val="16"/>
              </w:rPr>
              <w:t>三、目标完成情况</w:t>
            </w:r>
          </w:p>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DE78D1">
            <w:pPr>
              <w:jc w:val="center"/>
            </w:pPr>
            <w:r>
              <w:rPr>
                <w:rFonts w:ascii="宋体" w:hAnsi="宋体" w:eastAsia="宋体"/>
                <w:sz w:val="16"/>
              </w:rPr>
              <w:t>预期目标</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BCD800C">
            <w:pPr>
              <w:jc w:val="center"/>
            </w:pPr>
            <w:r>
              <w:rPr>
                <w:rFonts w:ascii="宋体" w:hAnsi="宋体" w:eastAsia="宋体"/>
                <w:sz w:val="16"/>
              </w:rPr>
              <w:t>实际完成情况</w:t>
            </w:r>
          </w:p>
        </w:tc>
      </w:tr>
      <w:tr w14:paraId="6F3CB046">
        <w:tblPrEx>
          <w:tblCellMar>
            <w:top w:w="0" w:type="dxa"/>
            <w:left w:w="108" w:type="dxa"/>
            <w:bottom w:w="0" w:type="dxa"/>
            <w:right w:w="108" w:type="dxa"/>
          </w:tblCellMar>
        </w:tblPrEx>
        <w:trPr>
          <w:gridAfter w:val="1"/>
          <w:wAfter w:w="252"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18A6CAB"/>
        </w:tc>
        <w:tc>
          <w:tcPr>
            <w:tcW w:w="455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B877D2B">
            <w:pPr>
              <w:jc w:val="both"/>
            </w:pPr>
            <w:r>
              <w:rPr>
                <w:rFonts w:ascii="宋体" w:hAnsi="宋体" w:eastAsia="宋体"/>
                <w:sz w:val="16"/>
              </w:rPr>
              <w:t>根据岳普湖县实际情况，乌苏特村村委会会议室修缮改造、便民服务中心升级改造、广场升级改造、村委会周边路面硬</w:t>
            </w:r>
            <w:r>
              <w:rPr>
                <w:rFonts w:hint="eastAsia" w:ascii="宋体" w:hAnsi="宋体"/>
                <w:sz w:val="16"/>
                <w:lang w:eastAsia="zh-CN"/>
              </w:rPr>
              <w:t>化和</w:t>
            </w:r>
            <w:r>
              <w:rPr>
                <w:rFonts w:ascii="宋体" w:hAnsi="宋体" w:eastAsia="宋体"/>
                <w:sz w:val="16"/>
              </w:rPr>
              <w:t>农户大门口地面硬化和6组农户供水管网铺设等内容。本年度支付除3%质保金之外的项目工程款。项目建设工程数量1个。通过项目的实施提升乡村居民生活质量，丰富乡村居民业余生活。</w:t>
            </w:r>
          </w:p>
        </w:tc>
        <w:tc>
          <w:tcPr>
            <w:tcW w:w="387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3900BE0">
            <w:pPr>
              <w:jc w:val="both"/>
            </w:pPr>
            <w:r>
              <w:rPr>
                <w:rFonts w:ascii="宋体" w:hAnsi="宋体" w:eastAsia="宋体"/>
                <w:sz w:val="16"/>
              </w:rPr>
              <w:t>项目已完成也克先拜巴扎镇乌苏特村基础设施升级工程，主要实施乌苏特村村委会会议室修缮改造、便民服务中心升级改造、广场升级改造、村委会周边路面硬化农户大门口地面硬化和6组农户供水管网铺设等内容。本年度已完成除3%质保金之外的项目工程款支付任务。项目建设工程数量1个。预算执行率100%。通过项目的实施有效提升乡村居民生活质量，丰富乡村居民业余生活。项目的受益人员满意度为100%。</w:t>
            </w:r>
          </w:p>
        </w:tc>
      </w:tr>
      <w:tr w14:paraId="6CA45A72">
        <w:tblPrEx>
          <w:tblCellMar>
            <w:top w:w="0" w:type="dxa"/>
            <w:left w:w="108" w:type="dxa"/>
            <w:bottom w:w="0" w:type="dxa"/>
            <w:right w:w="108" w:type="dxa"/>
          </w:tblCellMar>
        </w:tblPrEx>
        <w:trPr>
          <w:gridAfter w:val="1"/>
          <w:wAfter w:w="252" w:type="dxa"/>
        </w:trPr>
        <w:tc>
          <w:tcPr>
            <w:tcW w:w="626" w:type="dxa"/>
            <w:tcBorders>
              <w:top w:val="single" w:color="auto" w:sz="10" w:space="0"/>
              <w:left w:val="single" w:color="auto" w:sz="10" w:space="0"/>
              <w:bottom w:val="single" w:color="auto" w:sz="10" w:space="0"/>
              <w:right w:val="single" w:color="auto" w:sz="10" w:space="0"/>
              <w:insideV w:val="single" w:sz="10" w:space="0"/>
            </w:tcBorders>
          </w:tcPr>
          <w:p w14:paraId="3290BB90"/>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B13D3D7">
            <w:pPr>
              <w:jc w:val="center"/>
            </w:pPr>
            <w:r>
              <w:rPr>
                <w:rFonts w:ascii="宋体" w:hAnsi="宋体" w:eastAsia="宋体"/>
                <w:sz w:val="16"/>
              </w:rPr>
              <w:t>一级指标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F6B7433">
            <w:pPr>
              <w:jc w:val="center"/>
            </w:pPr>
            <w:r>
              <w:rPr>
                <w:rFonts w:ascii="宋体" w:hAnsi="宋体" w:eastAsia="宋体"/>
                <w:sz w:val="16"/>
              </w:rPr>
              <w:t>二级指标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93E9918">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0B8378CB">
            <w:pPr>
              <w:jc w:val="center"/>
            </w:pPr>
            <w:r>
              <w:rPr>
                <w:rFonts w:ascii="宋体" w:hAnsi="宋体" w:eastAsia="宋体"/>
                <w:sz w:val="16"/>
              </w:rPr>
              <w:t>年度指标值</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2E5A481">
            <w:pPr>
              <w:jc w:val="center"/>
            </w:pPr>
            <w:r>
              <w:rPr>
                <w:rFonts w:ascii="宋体" w:hAnsi="宋体" w:eastAsia="宋体"/>
                <w:sz w:val="16"/>
              </w:rPr>
              <w:t>指标值设定依据</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C889C61">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C675B8E">
            <w:pPr>
              <w:jc w:val="center"/>
            </w:pPr>
            <w:r>
              <w:rPr>
                <w:rFonts w:ascii="宋体" w:hAnsi="宋体" w:eastAsia="宋体"/>
                <w:sz w:val="16"/>
              </w:rPr>
              <w:t>权重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7ECDFC6">
            <w:pPr>
              <w:jc w:val="center"/>
            </w:pPr>
            <w:r>
              <w:rPr>
                <w:rFonts w:ascii="宋体" w:hAnsi="宋体" w:eastAsia="宋体"/>
                <w:sz w:val="16"/>
              </w:rPr>
              <w:t>赋分规则</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339F83E">
            <w:pPr>
              <w:jc w:val="center"/>
            </w:pPr>
            <w:r>
              <w:rPr>
                <w:rFonts w:ascii="宋体" w:hAnsi="宋体" w:eastAsia="宋体"/>
                <w:sz w:val="16"/>
              </w:rPr>
              <w:t>佐证资料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404B9CFC">
            <w:pPr>
              <w:jc w:val="center"/>
            </w:pPr>
            <w:r>
              <w:rPr>
                <w:rFonts w:ascii="宋体" w:hAnsi="宋体" w:eastAsia="宋体"/>
                <w:sz w:val="16"/>
              </w:rPr>
              <w:t>实际完成值</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75A2CA47">
            <w:pPr>
              <w:jc w:val="center"/>
            </w:pPr>
            <w:r>
              <w:rPr>
                <w:rFonts w:ascii="宋体" w:hAnsi="宋体" w:eastAsia="宋体"/>
                <w:sz w:val="16"/>
              </w:rPr>
              <w:t>得分</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D6C1F">
            <w:pPr>
              <w:jc w:val="center"/>
            </w:pPr>
            <w:r>
              <w:rPr>
                <w:rFonts w:ascii="宋体" w:hAnsi="宋体" w:eastAsia="宋体"/>
                <w:sz w:val="16"/>
              </w:rPr>
              <w:t>偏差原因分析及改进措施</w:t>
            </w:r>
          </w:p>
        </w:tc>
      </w:tr>
      <w:tr w14:paraId="22973CBA">
        <w:tblPrEx>
          <w:tblCellMar>
            <w:top w:w="0" w:type="dxa"/>
            <w:left w:w="108" w:type="dxa"/>
            <w:bottom w:w="0" w:type="dxa"/>
            <w:right w:w="108" w:type="dxa"/>
          </w:tblCellMar>
        </w:tblPrEx>
        <w:trPr>
          <w:gridAfter w:val="1"/>
          <w:wAfter w:w="252" w:type="dxa"/>
        </w:trPr>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EBE1BB">
            <w:pPr>
              <w:jc w:val="center"/>
            </w:pPr>
            <w:r>
              <w:rPr>
                <w:rFonts w:ascii="宋体" w:hAnsi="宋体" w:eastAsia="宋体"/>
                <w:sz w:val="16"/>
              </w:rPr>
              <w:t>年度绩效指标完成情况</w:t>
            </w:r>
          </w:p>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809C7">
            <w:pPr>
              <w:jc w:val="center"/>
            </w:pPr>
            <w:r>
              <w:rPr>
                <w:rFonts w:ascii="宋体" w:hAnsi="宋体" w:eastAsia="宋体"/>
                <w:sz w:val="16"/>
              </w:rPr>
              <w:t>产出指标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50BFBFC">
            <w:pPr>
              <w:jc w:val="center"/>
            </w:pPr>
            <w:r>
              <w:rPr>
                <w:rFonts w:ascii="宋体" w:hAnsi="宋体" w:eastAsia="宋体"/>
                <w:sz w:val="16"/>
              </w:rPr>
              <w:t>数量指标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F611E37">
            <w:pPr>
              <w:jc w:val="center"/>
            </w:pPr>
            <w:r>
              <w:rPr>
                <w:rFonts w:ascii="宋体" w:hAnsi="宋体" w:eastAsia="宋体"/>
                <w:sz w:val="16"/>
              </w:rPr>
              <w:t>项目建设工程数量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0A1EEC7">
            <w:pPr>
              <w:jc w:val="center"/>
            </w:pPr>
            <w:r>
              <w:rPr>
                <w:rFonts w:ascii="宋体" w:hAnsi="宋体" w:eastAsia="宋体"/>
                <w:sz w:val="16"/>
              </w:rPr>
              <w:t>&gt;=1个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C2FDE76">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26E29CF">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16CE63C7">
            <w:pPr>
              <w:jc w:val="center"/>
            </w:pPr>
            <w:r>
              <w:rPr>
                <w:rFonts w:ascii="宋体" w:hAnsi="宋体" w:eastAsia="宋体"/>
                <w:sz w:val="16"/>
              </w:rPr>
              <w:t>8</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EFF4FCB">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5086240">
            <w:pPr>
              <w:jc w:val="center"/>
            </w:pPr>
            <w:r>
              <w:rPr>
                <w:rFonts w:ascii="宋体" w:hAnsi="宋体" w:eastAsia="宋体"/>
                <w:sz w:val="16"/>
              </w:rPr>
              <w:t>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41DE2764">
            <w:pPr>
              <w:jc w:val="center"/>
            </w:pPr>
            <w:r>
              <w:rPr>
                <w:rFonts w:ascii="宋体" w:hAnsi="宋体" w:eastAsia="宋体"/>
                <w:sz w:val="16"/>
              </w:rPr>
              <w:t>=1个</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90BC0EF">
            <w:pPr>
              <w:jc w:val="center"/>
            </w:pPr>
            <w:r>
              <w:rPr>
                <w:rFonts w:ascii="宋体" w:hAnsi="宋体" w:eastAsia="宋体"/>
                <w:sz w:val="16"/>
              </w:rPr>
              <w:t>8</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B9943B">
            <w:pPr>
              <w:jc w:val="center"/>
            </w:pPr>
          </w:p>
        </w:tc>
      </w:tr>
      <w:tr w14:paraId="15C420E1">
        <w:tblPrEx>
          <w:tblCellMar>
            <w:top w:w="0" w:type="dxa"/>
            <w:left w:w="108" w:type="dxa"/>
            <w:bottom w:w="0" w:type="dxa"/>
            <w:right w:w="108" w:type="dxa"/>
          </w:tblCellMar>
        </w:tblPrEx>
        <w:trPr>
          <w:gridAfter w:val="1"/>
          <w:wAfter w:w="252"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B221EEE"/>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21C9CAE3"/>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3BD49E">
            <w:pPr>
              <w:jc w:val="center"/>
            </w:pPr>
            <w:r>
              <w:rPr>
                <w:rFonts w:ascii="宋体" w:hAnsi="宋体" w:eastAsia="宋体"/>
                <w:sz w:val="16"/>
              </w:rPr>
              <w:t>质量指标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0BB3D60">
            <w:pPr>
              <w:jc w:val="center"/>
            </w:pPr>
            <w:r>
              <w:rPr>
                <w:rFonts w:ascii="宋体" w:hAnsi="宋体" w:eastAsia="宋体"/>
                <w:sz w:val="16"/>
              </w:rPr>
              <w:t>项目验收合格率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5B929F5">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F858BA1">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B7DDF35">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6ED1438">
            <w:pPr>
              <w:jc w:val="center"/>
            </w:pPr>
            <w:r>
              <w:rPr>
                <w:rFonts w:ascii="宋体" w:hAnsi="宋体" w:eastAsia="宋体"/>
                <w:sz w:val="16"/>
              </w:rPr>
              <w:t>8</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94A5794">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BD1D7D0">
            <w:pPr>
              <w:jc w:val="center"/>
            </w:pPr>
            <w:r>
              <w:rPr>
                <w:rFonts w:ascii="宋体" w:hAnsi="宋体" w:eastAsia="宋体"/>
                <w:sz w:val="16"/>
              </w:rPr>
              <w:t>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75F420B0">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3320E40">
            <w:pPr>
              <w:jc w:val="center"/>
            </w:pPr>
            <w:r>
              <w:rPr>
                <w:rFonts w:ascii="宋体" w:hAnsi="宋体" w:eastAsia="宋体"/>
                <w:sz w:val="16"/>
              </w:rPr>
              <w:t>8</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050827">
            <w:pPr>
              <w:jc w:val="center"/>
            </w:pPr>
          </w:p>
        </w:tc>
      </w:tr>
      <w:tr w14:paraId="464A8B5D">
        <w:tblPrEx>
          <w:tblCellMar>
            <w:top w:w="0" w:type="dxa"/>
            <w:left w:w="108" w:type="dxa"/>
            <w:bottom w:w="0" w:type="dxa"/>
            <w:right w:w="108" w:type="dxa"/>
          </w:tblCellMar>
        </w:tblPrEx>
        <w:trPr>
          <w:gridAfter w:val="1"/>
          <w:wAfter w:w="252"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10B36B09"/>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6ACFE5CC"/>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07CC4583"/>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9DD2EE1">
            <w:pPr>
              <w:jc w:val="center"/>
            </w:pPr>
            <w:r>
              <w:rPr>
                <w:rFonts w:ascii="宋体" w:hAnsi="宋体" w:eastAsia="宋体"/>
                <w:sz w:val="16"/>
              </w:rPr>
              <w:t>资金使用合规率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27EF35A4">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90351D5">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9D7DD24">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E82BFE8">
            <w:pPr>
              <w:jc w:val="center"/>
            </w:pPr>
            <w:r>
              <w:rPr>
                <w:rFonts w:ascii="宋体" w:hAnsi="宋体" w:eastAsia="宋体"/>
                <w:sz w:val="16"/>
              </w:rPr>
              <w:t>8</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53CF0A4">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D0A4D9B">
            <w:pPr>
              <w:jc w:val="center"/>
            </w:pPr>
            <w:r>
              <w:rPr>
                <w:rFonts w:ascii="宋体" w:hAnsi="宋体" w:eastAsia="宋体"/>
                <w:sz w:val="16"/>
              </w:rPr>
              <w:t>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5E33DC6C">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32D4EEE1">
            <w:pPr>
              <w:jc w:val="center"/>
            </w:pPr>
            <w:r>
              <w:rPr>
                <w:rFonts w:ascii="宋体" w:hAnsi="宋体" w:eastAsia="宋体"/>
                <w:sz w:val="16"/>
              </w:rPr>
              <w:t>8</w:t>
            </w:r>
          </w:p>
        </w:tc>
        <w:tc>
          <w:tcPr>
            <w:tcW w:w="123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144D8D">
            <w:pPr>
              <w:jc w:val="center"/>
            </w:pPr>
          </w:p>
        </w:tc>
      </w:tr>
      <w:tr w14:paraId="46E04B76">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6A170EA1"/>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480C9623"/>
        </w:tc>
        <w:tc>
          <w:tcPr>
            <w:tcW w:w="61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AA139">
            <w:pPr>
              <w:jc w:val="center"/>
            </w:pPr>
            <w:r>
              <w:rPr>
                <w:rFonts w:ascii="宋体" w:hAnsi="宋体" w:eastAsia="宋体"/>
                <w:sz w:val="16"/>
              </w:rPr>
              <w:t>时效指标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4F0AC0B6">
            <w:pPr>
              <w:jc w:val="center"/>
            </w:pPr>
            <w:r>
              <w:rPr>
                <w:rFonts w:ascii="宋体" w:hAnsi="宋体" w:eastAsia="宋体"/>
                <w:sz w:val="16"/>
              </w:rPr>
              <w:t>资金支付及时性</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3F2F2D38">
            <w:pPr>
              <w:jc w:val="center"/>
            </w:pPr>
            <w:r>
              <w:rPr>
                <w:rFonts w:ascii="宋体" w:hAnsi="宋体" w:eastAsia="宋体"/>
                <w:sz w:val="16"/>
              </w:rPr>
              <w:t>=100%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9857A1D">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8331452">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285F1E26">
            <w:pPr>
              <w:jc w:val="center"/>
            </w:pPr>
            <w:r>
              <w:rPr>
                <w:rFonts w:ascii="宋体" w:hAnsi="宋体" w:eastAsia="宋体"/>
                <w:sz w:val="16"/>
              </w:rPr>
              <w:t>8</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6A67B63">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3267276">
            <w:pPr>
              <w:jc w:val="center"/>
            </w:pPr>
            <w:r>
              <w:rPr>
                <w:rFonts w:ascii="宋体" w:hAnsi="宋体" w:eastAsia="宋体"/>
                <w:sz w:val="16"/>
              </w:rPr>
              <w:t>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351E1E2C">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0262409">
            <w:pPr>
              <w:jc w:val="center"/>
            </w:pPr>
            <w:r>
              <w:rPr>
                <w:rFonts w:ascii="宋体" w:hAnsi="宋体" w:eastAsia="宋体"/>
                <w:sz w:val="16"/>
              </w:rPr>
              <w:t>8</w:t>
            </w:r>
          </w:p>
        </w:tc>
        <w:tc>
          <w:tcPr>
            <w:tcW w:w="148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CE7F25F">
            <w:pPr>
              <w:jc w:val="center"/>
            </w:pPr>
          </w:p>
        </w:tc>
      </w:tr>
      <w:tr w14:paraId="29B83362">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45E84CF6"/>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2A049AA2"/>
        </w:tc>
        <w:tc>
          <w:tcPr>
            <w:tcW w:w="616" w:type="dxa"/>
            <w:vMerge w:val="continue"/>
            <w:tcBorders>
              <w:top w:val="single" w:color="auto" w:sz="10" w:space="0"/>
              <w:left w:val="single" w:color="auto" w:sz="10" w:space="0"/>
              <w:bottom w:val="single" w:color="auto" w:sz="10" w:space="0"/>
              <w:right w:val="single" w:color="auto" w:sz="10" w:space="0"/>
              <w:insideV w:val="single" w:sz="10" w:space="0"/>
            </w:tcBorders>
          </w:tcPr>
          <w:p w14:paraId="3E15AAE1"/>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6751362">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44D049DE">
            <w:pPr>
              <w:jc w:val="center"/>
            </w:pPr>
            <w:r>
              <w:rPr>
                <w:rFonts w:ascii="宋体" w:hAnsi="宋体" w:eastAsia="宋体"/>
                <w:sz w:val="16"/>
              </w:rPr>
              <w:t>=2024年12月30日前</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6A053E5">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C95BD97">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5EF21E56">
            <w:pPr>
              <w:jc w:val="center"/>
            </w:pPr>
            <w:r>
              <w:rPr>
                <w:rFonts w:ascii="宋体" w:hAnsi="宋体" w:eastAsia="宋体"/>
                <w:sz w:val="16"/>
              </w:rPr>
              <w:t>8</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EA36C38">
            <w:pPr>
              <w:jc w:val="center"/>
            </w:pPr>
            <w:r>
              <w:rPr>
                <w:rFonts w:ascii="宋体" w:hAnsi="宋体" w:eastAsia="宋体"/>
                <w:sz w:val="16"/>
              </w:rPr>
              <w:t>直接赋分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7C29AF8">
            <w:pPr>
              <w:jc w:val="center"/>
            </w:pPr>
            <w:r>
              <w:rPr>
                <w:rFonts w:ascii="宋体" w:hAnsi="宋体" w:eastAsia="宋体"/>
                <w:sz w:val="16"/>
              </w:rPr>
              <w:t>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3AF15A4">
            <w:pPr>
              <w:jc w:val="center"/>
            </w:pPr>
            <w:r>
              <w:rPr>
                <w:rFonts w:ascii="宋体" w:hAnsi="宋体" w:eastAsia="宋体"/>
                <w:sz w:val="16"/>
              </w:rPr>
              <w:t>=2024年10月15日</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2F39AD4D">
            <w:pPr>
              <w:jc w:val="center"/>
            </w:pPr>
            <w:r>
              <w:rPr>
                <w:rFonts w:ascii="宋体" w:hAnsi="宋体" w:eastAsia="宋体"/>
                <w:sz w:val="16"/>
              </w:rPr>
              <w:t>8</w:t>
            </w:r>
          </w:p>
        </w:tc>
        <w:tc>
          <w:tcPr>
            <w:tcW w:w="148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7553D03">
            <w:pPr>
              <w:jc w:val="center"/>
            </w:pPr>
          </w:p>
        </w:tc>
      </w:tr>
      <w:tr w14:paraId="23E8FA6D">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463D7A6"/>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B11E380">
            <w:pPr>
              <w:jc w:val="center"/>
            </w:pPr>
            <w:r>
              <w:rPr>
                <w:rFonts w:ascii="宋体" w:hAnsi="宋体" w:eastAsia="宋体"/>
                <w:sz w:val="16"/>
              </w:rPr>
              <w:t>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F02840F">
            <w:pPr>
              <w:jc w:val="center"/>
            </w:pPr>
            <w:r>
              <w:rPr>
                <w:rFonts w:ascii="宋体" w:hAnsi="宋体" w:eastAsia="宋体"/>
                <w:sz w:val="16"/>
              </w:rPr>
              <w:t>经济成本指标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EBF7084">
            <w:pPr>
              <w:jc w:val="center"/>
            </w:pPr>
            <w:r>
              <w:rPr>
                <w:rFonts w:ascii="宋体" w:hAnsi="宋体" w:eastAsia="宋体"/>
                <w:sz w:val="16"/>
              </w:rPr>
              <w:t>项目建设预算控制数</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7742EAA6">
            <w:pPr>
              <w:jc w:val="center"/>
            </w:pPr>
            <w:r>
              <w:rPr>
                <w:rFonts w:ascii="宋体" w:hAnsi="宋体" w:eastAsia="宋体"/>
                <w:sz w:val="16"/>
              </w:rPr>
              <w:t>&lt;=307.18万元/个</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7D05475">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791DAC7">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3B9377D6">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A28C46C">
            <w:pPr>
              <w:jc w:val="center"/>
            </w:pPr>
            <w:r>
              <w:rPr>
                <w:rFonts w:ascii="宋体" w:hAnsi="宋体" w:eastAsia="宋体"/>
                <w:sz w:val="16"/>
              </w:rPr>
              <w:t>按照完成比例赋分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5DDF4DA3">
            <w:pPr>
              <w:jc w:val="center"/>
            </w:pPr>
            <w:r>
              <w:rPr>
                <w:rFonts w:ascii="宋体" w:hAnsi="宋体" w:eastAsia="宋体"/>
                <w:sz w:val="16"/>
              </w:rPr>
              <w:t>原始凭证</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6CA75CA4">
            <w:pPr>
              <w:jc w:val="center"/>
            </w:pPr>
            <w:r>
              <w:rPr>
                <w:rFonts w:ascii="宋体" w:hAnsi="宋体" w:eastAsia="宋体"/>
                <w:sz w:val="16"/>
              </w:rPr>
              <w:t>=307.18万元/个</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32A57E4">
            <w:pPr>
              <w:jc w:val="center"/>
            </w:pPr>
            <w:r>
              <w:rPr>
                <w:rFonts w:ascii="宋体" w:hAnsi="宋体" w:eastAsia="宋体"/>
                <w:sz w:val="16"/>
              </w:rPr>
              <w:t>20</w:t>
            </w:r>
          </w:p>
        </w:tc>
        <w:tc>
          <w:tcPr>
            <w:tcW w:w="148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1F48F34">
            <w:pPr>
              <w:jc w:val="center"/>
            </w:pPr>
          </w:p>
        </w:tc>
      </w:tr>
      <w:tr w14:paraId="4E9EC2CA">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77A3545E"/>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5CC3396">
            <w:pPr>
              <w:jc w:val="center"/>
            </w:pPr>
            <w:r>
              <w:rPr>
                <w:rFonts w:ascii="宋体" w:hAnsi="宋体" w:eastAsia="宋体"/>
                <w:sz w:val="16"/>
              </w:rPr>
              <w:t>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AD8415B">
            <w:pPr>
              <w:jc w:val="center"/>
            </w:pPr>
            <w:r>
              <w:rPr>
                <w:rFonts w:ascii="宋体" w:hAnsi="宋体" w:eastAsia="宋体"/>
                <w:sz w:val="16"/>
              </w:rPr>
              <w:t>社会效益指标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607E1159">
            <w:pPr>
              <w:jc w:val="center"/>
            </w:pPr>
            <w:r>
              <w:rPr>
                <w:rFonts w:ascii="宋体" w:hAnsi="宋体" w:eastAsia="宋体"/>
                <w:sz w:val="16"/>
              </w:rPr>
              <w:t>提升乡村居民生活质量</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5E8D1232">
            <w:pPr>
              <w:jc w:val="center"/>
            </w:pPr>
            <w:r>
              <w:rPr>
                <w:rFonts w:ascii="宋体" w:hAnsi="宋体" w:eastAsia="宋体"/>
                <w:sz w:val="16"/>
              </w:rPr>
              <w:t>有效提升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E631D1E">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9DBBC13">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0D6B4520">
            <w:pPr>
              <w:jc w:val="center"/>
            </w:pPr>
            <w:r>
              <w:rPr>
                <w:rFonts w:ascii="宋体" w:hAnsi="宋体" w:eastAsia="宋体"/>
                <w:sz w:val="16"/>
              </w:rPr>
              <w:t>20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DF3CA15">
            <w:pPr>
              <w:jc w:val="center"/>
            </w:pPr>
            <w:r>
              <w:rPr>
                <w:rFonts w:ascii="宋体" w:hAnsi="宋体" w:eastAsia="宋体"/>
                <w:sz w:val="16"/>
              </w:rPr>
              <w:t>按评判等级赋分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A26FE0B">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35B2736D">
            <w:pPr>
              <w:jc w:val="center"/>
            </w:pPr>
            <w:r>
              <w:rPr>
                <w:rFonts w:ascii="宋体" w:hAnsi="宋体" w:eastAsia="宋体"/>
                <w:sz w:val="16"/>
              </w:rPr>
              <w:t>有效提升</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65D5848D">
            <w:pPr>
              <w:jc w:val="center"/>
            </w:pPr>
            <w:r>
              <w:rPr>
                <w:rFonts w:ascii="宋体" w:hAnsi="宋体" w:eastAsia="宋体"/>
                <w:sz w:val="16"/>
              </w:rPr>
              <w:t>20</w:t>
            </w:r>
          </w:p>
        </w:tc>
        <w:tc>
          <w:tcPr>
            <w:tcW w:w="148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767AAA7">
            <w:pPr>
              <w:jc w:val="center"/>
            </w:pPr>
          </w:p>
        </w:tc>
      </w:tr>
      <w:tr w14:paraId="54CDAA24">
        <w:tblPrEx>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14:paraId="295AE243"/>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07B04271">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ED23485">
            <w:pPr>
              <w:jc w:val="center"/>
            </w:pPr>
            <w:r>
              <w:rPr>
                <w:rFonts w:ascii="宋体" w:hAnsi="宋体" w:eastAsia="宋体"/>
                <w:sz w:val="16"/>
              </w:rPr>
              <w:t>满意度指标</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7FAC7829">
            <w:pPr>
              <w:jc w:val="center"/>
            </w:pPr>
            <w:r>
              <w:rPr>
                <w:rFonts w:ascii="宋体" w:hAnsi="宋体" w:eastAsia="宋体"/>
                <w:sz w:val="16"/>
              </w:rPr>
              <w:t>受益居民满意度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14:paraId="12396DA8">
            <w:pPr>
              <w:jc w:val="center"/>
            </w:pPr>
            <w:r>
              <w:rPr>
                <w:rFonts w:ascii="宋体" w:hAnsi="宋体" w:eastAsia="宋体"/>
                <w:sz w:val="16"/>
              </w:rPr>
              <w:t>&gt;=98%</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8DF9D09">
            <w:pPr>
              <w:jc w:val="center"/>
            </w:pPr>
            <w:r>
              <w:rPr>
                <w:rFonts w:ascii="宋体" w:hAnsi="宋体" w:eastAsia="宋体"/>
                <w:sz w:val="16"/>
              </w:rPr>
              <w:t>计划标准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19361862">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2BD7E05">
            <w:pPr>
              <w:jc w:val="center"/>
            </w:pPr>
            <w:r>
              <w:rPr>
                <w:rFonts w:ascii="宋体" w:hAnsi="宋体" w:eastAsia="宋体"/>
                <w:sz w:val="16"/>
              </w:rPr>
              <w:t>10</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2D28C28F">
            <w:pPr>
              <w:jc w:val="center"/>
            </w:pPr>
            <w:r>
              <w:rPr>
                <w:rFonts w:ascii="宋体" w:hAnsi="宋体" w:eastAsia="宋体"/>
                <w:sz w:val="16"/>
              </w:rPr>
              <w:t>满意度赋分</w:t>
            </w:r>
          </w:p>
        </w:tc>
        <w:tc>
          <w:tcPr>
            <w:tcW w:w="616" w:type="dxa"/>
            <w:tcBorders>
              <w:top w:val="single" w:color="auto" w:sz="10" w:space="0"/>
              <w:left w:val="single" w:color="auto" w:sz="10" w:space="0"/>
              <w:bottom w:val="single" w:color="auto" w:sz="10" w:space="0"/>
              <w:right w:val="single" w:color="auto" w:sz="10" w:space="0"/>
              <w:insideV w:val="single" w:sz="10" w:space="0"/>
            </w:tcBorders>
            <w:vAlign w:val="center"/>
          </w:tcPr>
          <w:p w14:paraId="35329CA4">
            <w:pPr>
              <w:jc w:val="center"/>
            </w:pPr>
            <w:r>
              <w:rPr>
                <w:rFonts w:ascii="宋体" w:hAnsi="宋体" w:eastAsia="宋体"/>
                <w:sz w:val="16"/>
              </w:rPr>
              <w:t>工作资料</w:t>
            </w:r>
          </w:p>
        </w:tc>
        <w:tc>
          <w:tcPr>
            <w:tcW w:w="777" w:type="dxa"/>
            <w:tcBorders>
              <w:top w:val="single" w:color="auto" w:sz="10" w:space="0"/>
              <w:left w:val="single" w:color="auto" w:sz="10" w:space="0"/>
              <w:bottom w:val="single" w:color="auto" w:sz="10" w:space="0"/>
              <w:right w:val="single" w:color="auto" w:sz="10" w:space="0"/>
              <w:insideV w:val="single" w:sz="10" w:space="0"/>
            </w:tcBorders>
            <w:vAlign w:val="center"/>
          </w:tcPr>
          <w:p w14:paraId="27D65BAF">
            <w:pPr>
              <w:jc w:val="center"/>
            </w:pPr>
            <w:r>
              <w:rPr>
                <w:rFonts w:ascii="宋体" w:hAnsi="宋体" w:eastAsia="宋体"/>
                <w:sz w:val="16"/>
              </w:rPr>
              <w:t>=100%</w:t>
            </w:r>
          </w:p>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1B262285">
            <w:pPr>
              <w:jc w:val="center"/>
            </w:pPr>
            <w:r>
              <w:rPr>
                <w:rFonts w:ascii="宋体" w:hAnsi="宋体" w:eastAsia="宋体"/>
                <w:sz w:val="16"/>
              </w:rPr>
              <w:t>10</w:t>
            </w:r>
          </w:p>
        </w:tc>
        <w:tc>
          <w:tcPr>
            <w:tcW w:w="1487"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46465BC6">
            <w:pPr>
              <w:jc w:val="center"/>
            </w:pPr>
            <w:r>
              <w:rPr>
                <w:rFonts w:ascii="宋体" w:hAnsi="宋体" w:eastAsia="宋体"/>
                <w:sz w:val="16"/>
              </w:rPr>
              <w:t>偏差原因：首先，项目初期，对受益对象需求的理解存在偏差，导致预期值设置偏低。其次，项目在实际执行过程中有效地满足了项目预期目标，造成实际完成情况超出受益对象的期望。改进措施：对偏差进行深入分析，充分了解受益对象的需求变化，明确造成实际完成值高于预期的具体原因，以便在未来的项目中更好地把握和预测。</w:t>
            </w:r>
          </w:p>
        </w:tc>
      </w:tr>
      <w:tr w14:paraId="05A1B8BF">
        <w:tblPrEx>
          <w:tblCellMar>
            <w:top w:w="0" w:type="dxa"/>
            <w:left w:w="108" w:type="dxa"/>
            <w:bottom w:w="0" w:type="dxa"/>
            <w:right w:w="108" w:type="dxa"/>
          </w:tblCellMar>
        </w:tblPrEx>
        <w:tc>
          <w:tcPr>
            <w:tcW w:w="456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3B9EEC">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14:paraId="708D6780">
            <w:pPr>
              <w:jc w:val="center"/>
            </w:pPr>
            <w:r>
              <w:rPr>
                <w:rFonts w:ascii="宋体" w:hAnsi="宋体" w:eastAsia="宋体"/>
                <w:sz w:val="16"/>
              </w:rPr>
              <w:t>100</w:t>
            </w:r>
          </w:p>
        </w:tc>
        <w:tc>
          <w:tcPr>
            <w:tcW w:w="2009" w:type="dxa"/>
            <w:gridSpan w:val="3"/>
            <w:tcBorders>
              <w:top w:val="single" w:color="auto" w:sz="10" w:space="0"/>
              <w:left w:val="single" w:color="auto" w:sz="10" w:space="0"/>
              <w:bottom w:val="single" w:color="auto" w:sz="10" w:space="0"/>
              <w:right w:val="single" w:color="auto" w:sz="10" w:space="0"/>
              <w:insideV w:val="single" w:sz="10" w:space="0"/>
            </w:tcBorders>
          </w:tcPr>
          <w:p w14:paraId="317A7EBF"/>
        </w:tc>
        <w:tc>
          <w:tcPr>
            <w:tcW w:w="633" w:type="dxa"/>
            <w:tcBorders>
              <w:top w:val="single" w:color="auto" w:sz="10" w:space="0"/>
              <w:left w:val="single" w:color="auto" w:sz="10" w:space="0"/>
              <w:bottom w:val="single" w:color="auto" w:sz="10" w:space="0"/>
              <w:right w:val="single" w:color="auto" w:sz="10" w:space="0"/>
              <w:insideV w:val="single" w:sz="10" w:space="0"/>
            </w:tcBorders>
            <w:vAlign w:val="center"/>
          </w:tcPr>
          <w:p w14:paraId="4AC797C7">
            <w:pPr>
              <w:jc w:val="center"/>
            </w:pPr>
            <w:r>
              <w:rPr>
                <w:rFonts w:ascii="宋体" w:hAnsi="宋体" w:eastAsia="宋体"/>
                <w:sz w:val="16"/>
              </w:rPr>
              <w:t>100分</w:t>
            </w:r>
          </w:p>
        </w:tc>
        <w:tc>
          <w:tcPr>
            <w:tcW w:w="1487" w:type="dxa"/>
            <w:gridSpan w:val="3"/>
            <w:tcBorders>
              <w:top w:val="single" w:color="auto" w:sz="10" w:space="0"/>
              <w:left w:val="single" w:color="auto" w:sz="10" w:space="0"/>
              <w:bottom w:val="single" w:color="auto" w:sz="10" w:space="0"/>
              <w:right w:val="single" w:color="auto" w:sz="10" w:space="0"/>
              <w:insideV w:val="single" w:sz="10" w:space="0"/>
            </w:tcBorders>
          </w:tcPr>
          <w:p w14:paraId="34F33EA5"/>
        </w:tc>
      </w:tr>
    </w:tbl>
    <w:p w14:paraId="28E2AE19">
      <w:r>
        <w:br w:type="page"/>
      </w:r>
    </w:p>
    <w:p w14:paraId="58C01D7D">
      <w:pPr>
        <w:spacing w:line="640" w:lineRule="exact"/>
        <w:ind w:firstLine="640"/>
        <w:jc w:val="both"/>
        <w:outlineLvl w:val="2"/>
      </w:pPr>
      <w:r>
        <w:rPr>
          <w:rFonts w:ascii="黑体" w:hAnsi="黑体" w:eastAsia="黑体"/>
          <w:sz w:val="32"/>
        </w:rPr>
        <w:t>十二、其他需说明的事项</w:t>
      </w:r>
    </w:p>
    <w:p w14:paraId="379F8BFA">
      <w:pPr>
        <w:spacing w:line="580" w:lineRule="exact"/>
        <w:ind w:firstLine="640"/>
        <w:jc w:val="both"/>
      </w:pPr>
      <w:r>
        <w:rPr>
          <w:rFonts w:ascii="仿宋_GB2312" w:hAnsi="仿宋_GB2312" w:eastAsia="仿宋_GB2312"/>
          <w:b w:val="0"/>
          <w:sz w:val="32"/>
        </w:rPr>
        <w:t>本单位无其他需说明的事项。</w:t>
      </w:r>
    </w:p>
    <w:p w14:paraId="36E9458C">
      <w:r>
        <w:br w:type="page"/>
      </w:r>
    </w:p>
    <w:p w14:paraId="50669DF4">
      <w:pPr>
        <w:spacing w:line="240" w:lineRule="auto"/>
        <w:jc w:val="center"/>
        <w:outlineLvl w:val="1"/>
      </w:pPr>
      <w:r>
        <w:rPr>
          <w:rFonts w:ascii="黑体" w:hAnsi="黑体" w:eastAsia="黑体"/>
          <w:sz w:val="32"/>
        </w:rPr>
        <w:t>第三部分 专业名词解释</w:t>
      </w:r>
    </w:p>
    <w:p w14:paraId="42CA113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50059AC8">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FFEE51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860314F">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862DFDF">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401E21AC">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5502F2E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A767759">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20B563">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1FC33D8">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5F57DB4E">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DECD4D0">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A85A269">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659F584">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1BF6250D">
      <w:r>
        <w:br w:type="page"/>
      </w:r>
    </w:p>
    <w:p w14:paraId="014AF8BA">
      <w:pPr>
        <w:spacing w:line="240" w:lineRule="auto"/>
        <w:jc w:val="center"/>
        <w:outlineLvl w:val="1"/>
      </w:pPr>
      <w:r>
        <w:rPr>
          <w:rFonts w:ascii="黑体" w:hAnsi="黑体" w:eastAsia="黑体"/>
          <w:sz w:val="32"/>
        </w:rPr>
        <w:t>第四部分 部门决算报表（见附表）</w:t>
      </w:r>
    </w:p>
    <w:p w14:paraId="77DC9368">
      <w:pPr>
        <w:spacing w:line="240" w:lineRule="auto"/>
        <w:ind w:firstLine="640"/>
        <w:jc w:val="both"/>
      </w:pPr>
      <w:r>
        <w:rPr>
          <w:rFonts w:ascii="仿宋_GB2312" w:hAnsi="仿宋_GB2312" w:eastAsia="仿宋_GB2312"/>
          <w:b w:val="0"/>
          <w:sz w:val="32"/>
        </w:rPr>
        <w:t>一、《收入支出决算总表》</w:t>
      </w:r>
    </w:p>
    <w:p w14:paraId="31B8A751">
      <w:pPr>
        <w:spacing w:line="240" w:lineRule="auto"/>
        <w:ind w:firstLine="640"/>
        <w:jc w:val="both"/>
      </w:pPr>
      <w:r>
        <w:rPr>
          <w:rFonts w:ascii="仿宋_GB2312" w:hAnsi="仿宋_GB2312" w:eastAsia="仿宋_GB2312"/>
          <w:b w:val="0"/>
          <w:sz w:val="32"/>
        </w:rPr>
        <w:t>二、《收入决算表》</w:t>
      </w:r>
    </w:p>
    <w:p w14:paraId="123A62F7">
      <w:pPr>
        <w:spacing w:line="240" w:lineRule="auto"/>
        <w:ind w:firstLine="640"/>
        <w:jc w:val="both"/>
      </w:pPr>
      <w:r>
        <w:rPr>
          <w:rFonts w:ascii="仿宋_GB2312" w:hAnsi="仿宋_GB2312" w:eastAsia="仿宋_GB2312"/>
          <w:b w:val="0"/>
          <w:sz w:val="32"/>
        </w:rPr>
        <w:t>三、《支出决算表》</w:t>
      </w:r>
    </w:p>
    <w:p w14:paraId="649F1F5D">
      <w:pPr>
        <w:spacing w:line="240" w:lineRule="auto"/>
        <w:ind w:firstLine="640"/>
        <w:jc w:val="both"/>
      </w:pPr>
      <w:r>
        <w:rPr>
          <w:rFonts w:ascii="仿宋_GB2312" w:hAnsi="仿宋_GB2312" w:eastAsia="仿宋_GB2312"/>
          <w:b w:val="0"/>
          <w:sz w:val="32"/>
        </w:rPr>
        <w:t>四、《财政拨款收入支出决算总表》</w:t>
      </w:r>
    </w:p>
    <w:p w14:paraId="44EC59A6">
      <w:pPr>
        <w:spacing w:line="240" w:lineRule="auto"/>
        <w:ind w:firstLine="640"/>
        <w:jc w:val="both"/>
      </w:pPr>
      <w:r>
        <w:rPr>
          <w:rFonts w:ascii="仿宋_GB2312" w:hAnsi="仿宋_GB2312" w:eastAsia="仿宋_GB2312"/>
          <w:b w:val="0"/>
          <w:sz w:val="32"/>
        </w:rPr>
        <w:t>五、《一般公共预算财政拨款支出决算表》</w:t>
      </w:r>
    </w:p>
    <w:p w14:paraId="428A2A98">
      <w:pPr>
        <w:spacing w:line="240" w:lineRule="auto"/>
        <w:ind w:firstLine="640"/>
        <w:jc w:val="both"/>
      </w:pPr>
      <w:r>
        <w:rPr>
          <w:rFonts w:ascii="仿宋_GB2312" w:hAnsi="仿宋_GB2312" w:eastAsia="仿宋_GB2312"/>
          <w:b w:val="0"/>
          <w:sz w:val="32"/>
        </w:rPr>
        <w:t>六、《一般公共预算财政拨款基本支出决算表》</w:t>
      </w:r>
    </w:p>
    <w:p w14:paraId="4120240B">
      <w:pPr>
        <w:spacing w:line="240" w:lineRule="auto"/>
        <w:ind w:firstLine="640"/>
        <w:jc w:val="both"/>
      </w:pPr>
      <w:r>
        <w:rPr>
          <w:rFonts w:ascii="仿宋_GB2312" w:hAnsi="仿宋_GB2312" w:eastAsia="仿宋_GB2312"/>
          <w:b w:val="0"/>
          <w:sz w:val="32"/>
        </w:rPr>
        <w:t>七、《政府性基金预算财政拨款收入支出决算表》</w:t>
      </w:r>
    </w:p>
    <w:p w14:paraId="2079FD39">
      <w:pPr>
        <w:spacing w:line="240" w:lineRule="auto"/>
        <w:ind w:firstLine="640"/>
        <w:jc w:val="both"/>
      </w:pPr>
      <w:r>
        <w:rPr>
          <w:rFonts w:ascii="仿宋_GB2312" w:hAnsi="仿宋_GB2312" w:eastAsia="仿宋_GB2312"/>
          <w:b w:val="0"/>
          <w:sz w:val="32"/>
        </w:rPr>
        <w:t>八、《国有资本经营预算财政拨款收入支出决算表》</w:t>
      </w:r>
    </w:p>
    <w:p w14:paraId="39648265">
      <w:pPr>
        <w:spacing w:line="240" w:lineRule="auto"/>
        <w:ind w:firstLine="640"/>
        <w:jc w:val="both"/>
      </w:pPr>
      <w:r>
        <w:rPr>
          <w:rFonts w:ascii="仿宋_GB2312" w:hAnsi="仿宋_GB2312" w:eastAsia="仿宋_GB2312"/>
          <w:b w:val="0"/>
          <w:sz w:val="32"/>
        </w:rPr>
        <w:t>九、《财政拨款“三公”经费支出决算表》</w:t>
      </w:r>
    </w:p>
    <w:p w14:paraId="7EAC7990">
      <w:pPr>
        <w:spacing w:line="240" w:lineRule="auto"/>
        <w:ind w:firstLine="640"/>
        <w:jc w:val="both"/>
      </w:pPr>
    </w:p>
    <w:p w14:paraId="256F18F8">
      <w:pPr>
        <w:spacing w:line="240" w:lineRule="auto"/>
        <w:ind w:firstLine="640"/>
        <w:jc w:val="both"/>
      </w:pPr>
    </w:p>
    <w:p w14:paraId="53E532B3">
      <w:pPr>
        <w:spacing w:line="240" w:lineRule="auto"/>
        <w:ind w:firstLine="640"/>
        <w:jc w:val="both"/>
      </w:pPr>
    </w:p>
    <w:p w14:paraId="2E698DFA">
      <w:pPr>
        <w:spacing w:line="240" w:lineRule="auto"/>
        <w:ind w:firstLine="640"/>
        <w:jc w:val="both"/>
      </w:pPr>
    </w:p>
    <w:p w14:paraId="1D7B9DF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C11293A-54A7-4C6D-8E12-909C7008F00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821D22F2-D960-4B7B-B321-7A9BE4A90A50}"/>
  </w:font>
  <w:font w:name="仿宋_GB2312">
    <w:altName w:val="仿宋"/>
    <w:panose1 w:val="02010609030101010101"/>
    <w:charset w:val="86"/>
    <w:family w:val="modern"/>
    <w:pitch w:val="default"/>
    <w:sig w:usb0="00000000" w:usb1="00000000" w:usb2="00000000" w:usb3="00000000" w:csb0="00040000" w:csb1="00000000"/>
    <w:embedRegular r:id="rId3" w:fontKey="{0D2E5698-DE85-418E-BC2F-DE8046D6115C}"/>
  </w:font>
  <w:font w:name="楷体_GB2312">
    <w:altName w:val="楷体"/>
    <w:panose1 w:val="00000000000000000000"/>
    <w:charset w:val="00"/>
    <w:family w:val="auto"/>
    <w:pitch w:val="default"/>
    <w:sig w:usb0="00000000" w:usb1="00000000" w:usb2="00000000" w:usb3="00000000" w:csb0="00000000" w:csb1="00000000"/>
    <w:embedRegular r:id="rId4" w:fontKey="{23DDE840-AB79-4775-8D29-315D22B5D328}"/>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3F3E34ED"/>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6297</Words>
  <Characters>7403</Characters>
  <Lines>0</Lines>
  <Paragraphs>0</Paragraphs>
  <TotalTime>2</TotalTime>
  <ScaleCrop>false</ScaleCrop>
  <LinksUpToDate>false</LinksUpToDate>
  <CharactersWithSpaces>7411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2025-09-12T09:29:16Z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