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B3A1A5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岳普湖县岳普湖镇人民政府2024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E690DD9">
      <w:r>
        <w:br w:type="page"/>
      </w:r>
    </w:p>
    <w:p w14:paraId="761260C3">
      <w:pPr>
        <w:spacing w:line="640" w:lineRule="exact"/>
        <w:jc w:val="center"/>
        <w:outlineLvl w:val="1"/>
      </w:pPr>
      <w:r>
        <w:rPr>
          <w:rFonts w:ascii="黑体" w:hAnsi="黑体" w:eastAsia="黑体"/>
          <w:sz w:val="32"/>
        </w:rPr>
        <w:t>第一部分 单位概况</w:t>
      </w:r>
    </w:p>
    <w:p w14:paraId="68CFCE9A">
      <w:pPr>
        <w:spacing w:line="640" w:lineRule="exact"/>
        <w:ind w:firstLine="640"/>
        <w:jc w:val="both"/>
        <w:outlineLvl w:val="2"/>
      </w:pPr>
      <w:r>
        <w:rPr>
          <w:rFonts w:ascii="黑体" w:hAnsi="黑体" w:eastAsia="黑体"/>
          <w:sz w:val="32"/>
        </w:rPr>
        <w:t>一、主要职能</w:t>
      </w:r>
    </w:p>
    <w:p w14:paraId="6475D186">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根据党的路线、方针、政策和县委的指示、决议，结合本县实际，牢固树立为经济建设中心服务的指导思想，制定乡</w:t>
      </w:r>
      <w:r>
        <w:rPr>
          <w:rFonts w:hint="eastAsia" w:ascii="仿宋_GB2312" w:hAnsi="仿宋_GB2312" w:eastAsia="仿宋_GB2312"/>
          <w:sz w:val="32"/>
          <w:lang w:eastAsia="zh-CN"/>
        </w:rPr>
        <w:t>党委、政府</w:t>
      </w:r>
      <w:r>
        <w:rPr>
          <w:rFonts w:ascii="仿宋_GB2312" w:hAnsi="仿宋_GB2312" w:eastAsia="仿宋_GB2312"/>
          <w:sz w:val="32"/>
        </w:rPr>
        <w:t>年度工作要点，经县委审批后，认真贯彻执行。</w:t>
      </w:r>
    </w:p>
    <w:p w14:paraId="46A6D267">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开展镇</w:t>
      </w:r>
      <w:r>
        <w:rPr>
          <w:rFonts w:hint="eastAsia" w:ascii="仿宋_GB2312" w:hAnsi="仿宋_GB2312" w:eastAsia="仿宋_GB2312"/>
          <w:sz w:val="32"/>
          <w:lang w:eastAsia="zh-CN"/>
        </w:rPr>
        <w:t>党委、政府</w:t>
      </w:r>
      <w:r>
        <w:rPr>
          <w:rFonts w:ascii="仿宋_GB2312" w:hAnsi="仿宋_GB2312" w:eastAsia="仿宋_GB2312"/>
          <w:sz w:val="32"/>
        </w:rPr>
        <w:t>协商和民主监督，促进党的方针政策的贯彻落实。</w:t>
      </w:r>
    </w:p>
    <w:p w14:paraId="0A4F97C6">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认真搞好调查研究，着力为县委决策提供第一手资料，着力解决社会的难点热点问题。</w:t>
      </w:r>
    </w:p>
    <w:p w14:paraId="73156EB0">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做好乡</w:t>
      </w:r>
      <w:r>
        <w:rPr>
          <w:rFonts w:hint="eastAsia" w:ascii="仿宋_GB2312" w:hAnsi="仿宋_GB2312" w:eastAsia="仿宋_GB2312"/>
          <w:sz w:val="32"/>
          <w:lang w:eastAsia="zh-CN"/>
        </w:rPr>
        <w:t>党委、政府</w:t>
      </w:r>
      <w:r>
        <w:rPr>
          <w:rFonts w:ascii="仿宋_GB2312" w:hAnsi="仿宋_GB2312" w:eastAsia="仿宋_GB2312"/>
          <w:sz w:val="32"/>
        </w:rPr>
        <w:t>工作，尤其是要严把领导班子思想政治关，保证领导班子队伍的先进性和纯洁性，充分利用视察、会议、调研等方式调动委员参政议政的积极性。</w:t>
      </w:r>
    </w:p>
    <w:p w14:paraId="33627570">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做好来信来访工作，及时处理来信来访问题，积极化解社会难点热点问题。</w:t>
      </w:r>
    </w:p>
    <w:p w14:paraId="7A98806F">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加强政协机关自身建设，努力建设一支高素质的政府干部队伍。</w:t>
      </w:r>
    </w:p>
    <w:p w14:paraId="4BC68647">
      <w:pPr>
        <w:spacing w:line="640" w:lineRule="exact"/>
        <w:ind w:firstLine="640"/>
        <w:jc w:val="both"/>
        <w:outlineLvl w:val="2"/>
      </w:pPr>
      <w:r>
        <w:rPr>
          <w:rFonts w:ascii="黑体" w:hAnsi="黑体" w:eastAsia="黑体"/>
          <w:sz w:val="32"/>
        </w:rPr>
        <w:t>二、机构设置及人员情况</w:t>
      </w:r>
    </w:p>
    <w:p w14:paraId="6F4CB5C5">
      <w:pPr>
        <w:spacing w:line="580" w:lineRule="exact"/>
        <w:ind w:firstLine="640"/>
        <w:jc w:val="both"/>
      </w:pPr>
      <w:r>
        <w:rPr>
          <w:rFonts w:ascii="仿宋_GB2312" w:hAnsi="仿宋_GB2312" w:eastAsia="仿宋_GB2312"/>
          <w:sz w:val="32"/>
        </w:rPr>
        <w:t>岳普湖县岳普湖镇人民政府2024年度，实有人数191人，其中：在职人员159人，增加1人；离休人员0人，增加0人；退休人员32人,增加0人。</w:t>
      </w:r>
    </w:p>
    <w:p w14:paraId="075C3FBE">
      <w:pPr>
        <w:spacing w:line="580" w:lineRule="exact"/>
        <w:ind w:firstLine="640"/>
        <w:jc w:val="both"/>
      </w:pPr>
      <w:r>
        <w:rPr>
          <w:rFonts w:ascii="仿宋_GB2312" w:hAnsi="仿宋_GB2312" w:eastAsia="仿宋_GB2312"/>
          <w:sz w:val="32"/>
        </w:rPr>
        <w:t>岳普湖县岳普湖镇人民政府无下属预算单位，下设5个科室，分别是：党政办公室、党建办公室、经济发展办公室、社会事务办公室、综合执法办公室。</w:t>
      </w:r>
    </w:p>
    <w:p w14:paraId="765FD72E">
      <w:r>
        <w:br w:type="page"/>
      </w:r>
    </w:p>
    <w:p w14:paraId="4C3D2291">
      <w:pPr>
        <w:spacing w:line="240" w:lineRule="auto"/>
        <w:jc w:val="center"/>
        <w:outlineLvl w:val="1"/>
      </w:pPr>
      <w:r>
        <w:rPr>
          <w:rFonts w:ascii="黑体" w:hAnsi="黑体" w:eastAsia="黑体"/>
          <w:sz w:val="32"/>
        </w:rPr>
        <w:t>第二部分 部门决算情况说明</w:t>
      </w:r>
    </w:p>
    <w:p w14:paraId="3AAFE788">
      <w:pPr>
        <w:spacing w:line="640" w:lineRule="exact"/>
        <w:ind w:firstLine="640"/>
        <w:jc w:val="both"/>
        <w:outlineLvl w:val="2"/>
      </w:pPr>
      <w:r>
        <w:rPr>
          <w:rFonts w:ascii="黑体" w:hAnsi="黑体" w:eastAsia="黑体"/>
          <w:sz w:val="32"/>
        </w:rPr>
        <w:t>一、收入支出决算总体情况说明</w:t>
      </w:r>
    </w:p>
    <w:p w14:paraId="75C7945F">
      <w:pPr>
        <w:spacing w:line="580" w:lineRule="exact"/>
        <w:ind w:firstLine="640"/>
        <w:jc w:val="both"/>
      </w:pPr>
      <w:r>
        <w:rPr>
          <w:rFonts w:ascii="仿宋_GB2312" w:hAnsi="仿宋_GB2312" w:eastAsia="仿宋_GB2312"/>
          <w:b/>
          <w:sz w:val="32"/>
        </w:rPr>
        <w:t>2024年度收入总计4,262.67万元，</w:t>
      </w:r>
      <w:r>
        <w:rPr>
          <w:rFonts w:ascii="仿宋_GB2312" w:hAnsi="仿宋_GB2312" w:eastAsia="仿宋_GB2312"/>
          <w:b w:val="0"/>
          <w:sz w:val="32"/>
        </w:rPr>
        <w:t>其中：本年收入合计4,262.67万元，使用非财政拨款结余（含专用结余）0.00万元，年初结转和结余0.00万元。</w:t>
      </w:r>
    </w:p>
    <w:p w14:paraId="4EC224B9">
      <w:pPr>
        <w:spacing w:line="580" w:lineRule="exact"/>
        <w:ind w:firstLine="640"/>
        <w:jc w:val="both"/>
      </w:pPr>
      <w:r>
        <w:rPr>
          <w:rFonts w:ascii="仿宋_GB2312" w:hAnsi="仿宋_GB2312" w:eastAsia="仿宋_GB2312"/>
          <w:b/>
          <w:sz w:val="32"/>
        </w:rPr>
        <w:t>2024年度支出总计4,262.67万元，</w:t>
      </w:r>
      <w:r>
        <w:rPr>
          <w:rFonts w:ascii="仿宋_GB2312" w:hAnsi="仿宋_GB2312" w:eastAsia="仿宋_GB2312"/>
          <w:b w:val="0"/>
          <w:sz w:val="32"/>
        </w:rPr>
        <w:t>其中：本年支出合计4,262.67万元，结余分配0.00万元，年末结转和结余0.00万元。</w:t>
      </w:r>
    </w:p>
    <w:p w14:paraId="6B02FF90">
      <w:pPr>
        <w:spacing w:line="580" w:lineRule="exact"/>
        <w:ind w:firstLine="640"/>
        <w:jc w:val="both"/>
      </w:pPr>
      <w:r>
        <w:rPr>
          <w:rFonts w:ascii="仿宋_GB2312" w:hAnsi="仿宋_GB2312" w:eastAsia="仿宋_GB2312"/>
          <w:b w:val="0"/>
          <w:sz w:val="32"/>
        </w:rPr>
        <w:t>收入支出总体与上年相比，减少704.51万元，下降14.18%，主要原因是：本年减少岳普湖县旅游特色小镇建设项目</w:t>
      </w:r>
      <w:r>
        <w:rPr>
          <w:rFonts w:hint="eastAsia" w:ascii="仿宋_GB2312" w:hAnsi="仿宋_GB2312" w:eastAsia="仿宋_GB2312"/>
          <w:b w:val="0"/>
          <w:sz w:val="32"/>
          <w:lang w:eastAsia="zh-CN"/>
        </w:rPr>
        <w:t>、</w:t>
      </w:r>
      <w:r>
        <w:rPr>
          <w:rFonts w:ascii="仿宋_GB2312" w:hAnsi="仿宋_GB2312" w:eastAsia="仿宋_GB2312"/>
          <w:b w:val="0"/>
          <w:sz w:val="32"/>
        </w:rPr>
        <w:t>岳普湖县“抓党建促振兴”示范村乡镇建设项目</w:t>
      </w:r>
      <w:r>
        <w:rPr>
          <w:rFonts w:hint="eastAsia" w:ascii="仿宋_GB2312" w:hAnsi="仿宋_GB2312" w:eastAsia="仿宋_GB2312"/>
          <w:b w:val="0"/>
          <w:sz w:val="32"/>
          <w:lang w:eastAsia="zh-CN"/>
        </w:rPr>
        <w:t>、</w:t>
      </w:r>
      <w:r>
        <w:rPr>
          <w:rFonts w:ascii="仿宋_GB2312" w:hAnsi="仿宋_GB2312" w:eastAsia="仿宋_GB2312"/>
          <w:b w:val="0"/>
          <w:sz w:val="32"/>
        </w:rPr>
        <w:t>岳普湖镇乡村振兴项目改造支出等，导致经费较上年减少。</w:t>
      </w:r>
    </w:p>
    <w:p w14:paraId="798C8F90">
      <w:pPr>
        <w:spacing w:line="640" w:lineRule="exact"/>
        <w:ind w:firstLine="640"/>
        <w:jc w:val="both"/>
        <w:outlineLvl w:val="2"/>
      </w:pPr>
      <w:r>
        <w:rPr>
          <w:rFonts w:ascii="黑体" w:hAnsi="黑体" w:eastAsia="黑体"/>
          <w:sz w:val="32"/>
        </w:rPr>
        <w:t>二、收入决算情况说明</w:t>
      </w:r>
    </w:p>
    <w:p w14:paraId="65EC97DA">
      <w:pPr>
        <w:spacing w:line="580" w:lineRule="exact"/>
        <w:ind w:firstLine="640"/>
        <w:jc w:val="both"/>
      </w:pPr>
      <w:r>
        <w:rPr>
          <w:rFonts w:ascii="仿宋_GB2312" w:hAnsi="仿宋_GB2312" w:eastAsia="仿宋_GB2312"/>
          <w:b/>
          <w:sz w:val="32"/>
        </w:rPr>
        <w:t>本年收入4,262.67万元，</w:t>
      </w:r>
      <w:r>
        <w:rPr>
          <w:rFonts w:ascii="仿宋_GB2312" w:hAnsi="仿宋_GB2312" w:eastAsia="仿宋_GB2312"/>
          <w:b w:val="0"/>
          <w:sz w:val="32"/>
        </w:rPr>
        <w:t>其中：财政拨款收入3,703.61万元，占86.88%；上级补助收入0.00万元，占0.00%；事业收入0.00万元，占0.00%；经营收入0.00万元，占0.00%；附属单位上缴收入0.00万元，占0.00%；其他收入559.06万元，占13.12%。</w:t>
      </w:r>
    </w:p>
    <w:p w14:paraId="227BBBBD">
      <w:pPr>
        <w:spacing w:line="640" w:lineRule="exact"/>
        <w:ind w:firstLine="640"/>
        <w:jc w:val="both"/>
        <w:outlineLvl w:val="2"/>
      </w:pPr>
      <w:r>
        <w:rPr>
          <w:rFonts w:ascii="黑体" w:hAnsi="黑体" w:eastAsia="黑体"/>
          <w:sz w:val="32"/>
        </w:rPr>
        <w:t>三、支出决算情况说明</w:t>
      </w:r>
    </w:p>
    <w:p w14:paraId="3721EE91">
      <w:pPr>
        <w:spacing w:line="580" w:lineRule="exact"/>
        <w:ind w:firstLine="640"/>
        <w:jc w:val="both"/>
      </w:pPr>
      <w:r>
        <w:rPr>
          <w:rFonts w:ascii="仿宋_GB2312" w:hAnsi="仿宋_GB2312" w:eastAsia="仿宋_GB2312"/>
          <w:b/>
          <w:sz w:val="32"/>
        </w:rPr>
        <w:t>本年支出4,262.67万元，</w:t>
      </w:r>
      <w:r>
        <w:rPr>
          <w:rFonts w:ascii="仿宋_GB2312" w:hAnsi="仿宋_GB2312" w:eastAsia="仿宋_GB2312"/>
          <w:b w:val="0"/>
          <w:sz w:val="32"/>
        </w:rPr>
        <w:t>其中：基本支出3,090.06万元，占72.49%；项目支出1,172.61万元，占27.51%；上缴上级支出0.00万元，占0.00%；经营支出0.00万元，占0.00%；对附属单位补助支出0.00万元，占0.00%。</w:t>
      </w:r>
    </w:p>
    <w:p w14:paraId="17002B50">
      <w:pPr>
        <w:spacing w:line="640" w:lineRule="exact"/>
        <w:ind w:firstLine="640"/>
        <w:jc w:val="both"/>
        <w:outlineLvl w:val="2"/>
      </w:pPr>
      <w:r>
        <w:rPr>
          <w:rFonts w:ascii="黑体" w:hAnsi="黑体" w:eastAsia="黑体"/>
          <w:sz w:val="32"/>
        </w:rPr>
        <w:t>四、财政拨款收入支出决算总体情况说明</w:t>
      </w:r>
    </w:p>
    <w:p w14:paraId="57935DC8">
      <w:pPr>
        <w:spacing w:line="580" w:lineRule="exact"/>
        <w:ind w:firstLine="640"/>
        <w:jc w:val="both"/>
      </w:pPr>
      <w:r>
        <w:rPr>
          <w:rFonts w:ascii="仿宋_GB2312" w:hAnsi="仿宋_GB2312" w:eastAsia="仿宋_GB2312"/>
          <w:b/>
          <w:sz w:val="32"/>
        </w:rPr>
        <w:t>2024年度财政拨款收入总计3,703.61万元，</w:t>
      </w:r>
      <w:r>
        <w:rPr>
          <w:rFonts w:ascii="仿宋_GB2312" w:hAnsi="仿宋_GB2312" w:eastAsia="仿宋_GB2312"/>
          <w:b w:val="0"/>
          <w:sz w:val="32"/>
        </w:rPr>
        <w:t>其中：年初财政拨款结转和结余0.00万元，本年财政拨款收入3,703.61万元。</w:t>
      </w:r>
      <w:r>
        <w:rPr>
          <w:rFonts w:ascii="仿宋_GB2312" w:hAnsi="仿宋_GB2312" w:eastAsia="仿宋_GB2312"/>
          <w:b/>
          <w:sz w:val="32"/>
        </w:rPr>
        <w:t>财政拨款支出总计3,703.61万元，</w:t>
      </w:r>
      <w:r>
        <w:rPr>
          <w:rFonts w:ascii="仿宋_GB2312" w:hAnsi="仿宋_GB2312" w:eastAsia="仿宋_GB2312"/>
          <w:b w:val="0"/>
          <w:sz w:val="32"/>
        </w:rPr>
        <w:t>其中：年末财政拨款结转和结余0.00万元，本年财政拨款支出3,703.61万元。</w:t>
      </w:r>
    </w:p>
    <w:p w14:paraId="4182B21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减少1,075.52万元，下降22.50%，主要原因是：本年减少集中供养分散供养特困人员护理费项目、临时救助资金</w:t>
      </w:r>
      <w:r>
        <w:rPr>
          <w:rFonts w:hint="eastAsia" w:ascii="仿宋_GB2312" w:hAnsi="仿宋_GB2312" w:eastAsia="仿宋_GB2312"/>
          <w:b w:val="0"/>
          <w:sz w:val="32"/>
          <w:lang w:eastAsia="zh-CN"/>
        </w:rPr>
        <w:t>、</w:t>
      </w:r>
      <w:r>
        <w:rPr>
          <w:rFonts w:ascii="仿宋_GB2312" w:hAnsi="仿宋_GB2312" w:eastAsia="仿宋_GB2312"/>
          <w:b w:val="0"/>
          <w:sz w:val="32"/>
        </w:rPr>
        <w:t>岳普湖镇乡村振兴项目改造支出等，导致经费较上年减少。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3,135.91万元，决算数3,703.61万元，预决算差异率18.10%，主要原因是：年中追加人员工资、社保、公积金基数调增部分资金，年中追加临时救助项目经费、岳普湖县乡村振兴重点示范村建设项目，导致预决算存在差异。</w:t>
      </w:r>
    </w:p>
    <w:p w14:paraId="10DDCCBA">
      <w:pPr>
        <w:spacing w:line="640" w:lineRule="exact"/>
        <w:ind w:firstLine="640"/>
        <w:jc w:val="both"/>
        <w:outlineLvl w:val="2"/>
      </w:pPr>
      <w:r>
        <w:rPr>
          <w:rFonts w:ascii="黑体" w:hAnsi="黑体" w:eastAsia="黑体"/>
          <w:sz w:val="32"/>
        </w:rPr>
        <w:t>五、一般公共预算财政拨款支出决算情况说明</w:t>
      </w:r>
    </w:p>
    <w:p w14:paraId="4ED399E5">
      <w:pPr>
        <w:spacing w:line="640" w:lineRule="exact"/>
        <w:ind w:firstLine="640"/>
        <w:jc w:val="both"/>
        <w:outlineLvl w:val="3"/>
      </w:pPr>
      <w:r>
        <w:rPr>
          <w:rFonts w:ascii="楷体_GB2312" w:hAnsi="楷体_GB2312" w:eastAsia="楷体_GB2312"/>
          <w:b/>
          <w:sz w:val="32"/>
        </w:rPr>
        <w:t>（一）一般公共预算财政拨款支出决算总体情况</w:t>
      </w:r>
    </w:p>
    <w:p w14:paraId="7596B8EC">
      <w:pPr>
        <w:spacing w:line="580" w:lineRule="exact"/>
        <w:ind w:firstLine="640"/>
        <w:jc w:val="both"/>
      </w:pPr>
      <w:r>
        <w:rPr>
          <w:rFonts w:ascii="仿宋_GB2312" w:hAnsi="仿宋_GB2312" w:eastAsia="仿宋_GB2312"/>
          <w:b/>
          <w:sz w:val="32"/>
        </w:rPr>
        <w:t>2024年度一般公共预算财政拨款支出3,485.13万元，</w:t>
      </w:r>
      <w:r>
        <w:rPr>
          <w:rFonts w:ascii="仿宋_GB2312" w:hAnsi="仿宋_GB2312" w:eastAsia="仿宋_GB2312"/>
          <w:b w:val="0"/>
          <w:sz w:val="32"/>
        </w:rPr>
        <w:t>占本年支出合计的81.76%。</w:t>
      </w:r>
      <w:r>
        <w:rPr>
          <w:rFonts w:ascii="仿宋_GB2312" w:hAnsi="仿宋_GB2312" w:eastAsia="仿宋_GB2312"/>
          <w:b/>
          <w:sz w:val="32"/>
        </w:rPr>
        <w:t>与上年相比，</w:t>
      </w:r>
      <w:r>
        <w:rPr>
          <w:rFonts w:ascii="仿宋_GB2312" w:hAnsi="仿宋_GB2312" w:eastAsia="仿宋_GB2312"/>
          <w:b w:val="0"/>
          <w:sz w:val="32"/>
        </w:rPr>
        <w:t>减少1,282.94万元，下降26.91%，主要原因是：本年减少岳普湖县旅游特色小镇建设项目</w:t>
      </w:r>
      <w:r>
        <w:rPr>
          <w:rFonts w:hint="eastAsia" w:ascii="仿宋_GB2312" w:hAnsi="仿宋_GB2312" w:eastAsia="仿宋_GB2312"/>
          <w:b w:val="0"/>
          <w:sz w:val="32"/>
          <w:lang w:eastAsia="zh-CN"/>
        </w:rPr>
        <w:t>、</w:t>
      </w:r>
      <w:r>
        <w:rPr>
          <w:rFonts w:ascii="仿宋_GB2312" w:hAnsi="仿宋_GB2312" w:eastAsia="仿宋_GB2312"/>
          <w:b w:val="0"/>
          <w:sz w:val="32"/>
        </w:rPr>
        <w:t>岳普湖县“抓党建促振兴”示范村乡镇建设项目</w:t>
      </w:r>
      <w:r>
        <w:rPr>
          <w:rFonts w:hint="eastAsia" w:ascii="仿宋_GB2312" w:hAnsi="仿宋_GB2312" w:eastAsia="仿宋_GB2312"/>
          <w:b w:val="0"/>
          <w:sz w:val="32"/>
          <w:lang w:eastAsia="zh-CN"/>
        </w:rPr>
        <w:t>、</w:t>
      </w:r>
      <w:r>
        <w:rPr>
          <w:rFonts w:ascii="仿宋_GB2312" w:hAnsi="仿宋_GB2312" w:eastAsia="仿宋_GB2312"/>
          <w:b w:val="0"/>
          <w:sz w:val="32"/>
        </w:rPr>
        <w:t>岳普湖镇乡村振兴项目改造支出等，导致经费较上年减少。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3,122.09万元，决算数3,485.13万元，预决算差异率11.63%，主要原因是：年中追加人员工资、社保、公积金基数调增部分资金，年中追加乡镇工作项目经费、农村中央改革转移支付建设项目，导致预决算存在差异。</w:t>
      </w:r>
    </w:p>
    <w:p w14:paraId="3243B4B1">
      <w:pPr>
        <w:spacing w:line="640" w:lineRule="exact"/>
        <w:ind w:firstLine="640"/>
        <w:jc w:val="both"/>
        <w:outlineLvl w:val="3"/>
      </w:pPr>
      <w:r>
        <w:rPr>
          <w:rFonts w:ascii="楷体_GB2312" w:hAnsi="楷体_GB2312" w:eastAsia="楷体_GB2312"/>
          <w:b/>
          <w:sz w:val="32"/>
        </w:rPr>
        <w:t>（二）一般公共预算财政拨款支出决算结构情况</w:t>
      </w:r>
    </w:p>
    <w:p w14:paraId="0B769A63">
      <w:pPr>
        <w:spacing w:line="580" w:lineRule="exact"/>
        <w:ind w:firstLine="640"/>
        <w:jc w:val="both"/>
      </w:pPr>
      <w:r>
        <w:rPr>
          <w:rFonts w:ascii="仿宋_GB2312" w:hAnsi="仿宋_GB2312" w:eastAsia="仿宋_GB2312"/>
          <w:b w:val="0"/>
          <w:sz w:val="32"/>
        </w:rPr>
        <w:t>1.一般公共服务支出(类)2,634.09万元,占75.58%。</w:t>
      </w:r>
    </w:p>
    <w:p w14:paraId="6BC98B36">
      <w:pPr>
        <w:spacing w:line="580" w:lineRule="exact"/>
        <w:ind w:firstLine="640"/>
        <w:jc w:val="both"/>
      </w:pPr>
      <w:r>
        <w:rPr>
          <w:rFonts w:ascii="仿宋_GB2312" w:hAnsi="仿宋_GB2312" w:eastAsia="仿宋_GB2312"/>
          <w:b w:val="0"/>
          <w:sz w:val="32"/>
        </w:rPr>
        <w:t>2.文化旅游体育与传媒支出(类)53.56万元,占1.54%。</w:t>
      </w:r>
    </w:p>
    <w:p w14:paraId="4A825336">
      <w:pPr>
        <w:spacing w:line="580" w:lineRule="exact"/>
        <w:ind w:firstLine="640"/>
        <w:jc w:val="both"/>
      </w:pPr>
      <w:r>
        <w:rPr>
          <w:rFonts w:ascii="仿宋_GB2312" w:hAnsi="仿宋_GB2312" w:eastAsia="仿宋_GB2312"/>
          <w:b w:val="0"/>
          <w:sz w:val="32"/>
        </w:rPr>
        <w:t>3.社会保障和就业支出(类)321.71万元,占9.23%。</w:t>
      </w:r>
    </w:p>
    <w:p w14:paraId="10C6C366">
      <w:pPr>
        <w:spacing w:line="580" w:lineRule="exact"/>
        <w:ind w:firstLine="640"/>
        <w:jc w:val="both"/>
      </w:pPr>
      <w:r>
        <w:rPr>
          <w:rFonts w:ascii="仿宋_GB2312" w:hAnsi="仿宋_GB2312" w:eastAsia="仿宋_GB2312"/>
          <w:b w:val="0"/>
          <w:sz w:val="32"/>
        </w:rPr>
        <w:t>4.卫生健康支出(类)123.79万元,占3.55%。</w:t>
      </w:r>
    </w:p>
    <w:p w14:paraId="40D0E7F7">
      <w:pPr>
        <w:spacing w:line="580" w:lineRule="exact"/>
        <w:ind w:firstLine="640"/>
        <w:jc w:val="both"/>
      </w:pPr>
      <w:r>
        <w:rPr>
          <w:rFonts w:ascii="仿宋_GB2312" w:hAnsi="仿宋_GB2312" w:eastAsia="仿宋_GB2312"/>
          <w:b w:val="0"/>
          <w:sz w:val="32"/>
        </w:rPr>
        <w:t>5.农林水支出(类)148.46万元,占4.26%。</w:t>
      </w:r>
    </w:p>
    <w:p w14:paraId="72B9755C">
      <w:pPr>
        <w:spacing w:line="580" w:lineRule="exact"/>
        <w:ind w:firstLine="640"/>
        <w:jc w:val="both"/>
      </w:pPr>
      <w:r>
        <w:rPr>
          <w:rFonts w:ascii="仿宋_GB2312" w:hAnsi="仿宋_GB2312" w:eastAsia="仿宋_GB2312"/>
          <w:b w:val="0"/>
          <w:sz w:val="32"/>
        </w:rPr>
        <w:t>6.住房保障支出(类)203.52万元,占5.84%。</w:t>
      </w:r>
    </w:p>
    <w:p w14:paraId="5598BFC1">
      <w:pPr>
        <w:spacing w:line="640" w:lineRule="exact"/>
        <w:ind w:firstLine="640"/>
        <w:jc w:val="both"/>
        <w:outlineLvl w:val="3"/>
      </w:pPr>
      <w:r>
        <w:rPr>
          <w:rFonts w:ascii="楷体_GB2312" w:hAnsi="楷体_GB2312" w:eastAsia="楷体_GB2312"/>
          <w:b/>
          <w:sz w:val="32"/>
        </w:rPr>
        <w:t>（三）一般公共预算财政拨款支出决算具体情况</w:t>
      </w:r>
    </w:p>
    <w:p w14:paraId="26DEA59A">
      <w:pPr>
        <w:spacing w:line="580" w:lineRule="exact"/>
        <w:ind w:firstLine="640"/>
        <w:jc w:val="both"/>
      </w:pPr>
      <w:r>
        <w:rPr>
          <w:rFonts w:ascii="仿宋_GB2312" w:hAnsi="仿宋_GB2312" w:eastAsia="仿宋_GB2312"/>
          <w:b w:val="0"/>
          <w:sz w:val="32"/>
        </w:rPr>
        <w:t>1.一般公共服务支出(类)人大事务(款)代表工作(项):支出决算数为1.49万元，比上年决算减少1.05万元，下降41.34%,主要原因是：本年人大事务代表人员补贴资金减少。</w:t>
      </w:r>
    </w:p>
    <w:p w14:paraId="5282E617">
      <w:pPr>
        <w:spacing w:line="580" w:lineRule="exact"/>
        <w:ind w:firstLine="640"/>
        <w:jc w:val="both"/>
      </w:pPr>
      <w:r>
        <w:rPr>
          <w:rFonts w:ascii="仿宋_GB2312" w:hAnsi="仿宋_GB2312" w:eastAsia="仿宋_GB2312"/>
          <w:b w:val="0"/>
          <w:sz w:val="32"/>
        </w:rPr>
        <w:t>2.一般公共服务支出(类)人大事务(款)其他人大事务支出(项):支出决算数为0.00万元，比上年决算减少0.50万元，下降100.00%,主要原因是：本单位未安排2023年自治区基层人大补助经费项目支出。</w:t>
      </w:r>
    </w:p>
    <w:p w14:paraId="3340B7D3">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2,441.03万元，比上年决算增加108.37万元，增长4.65%,主要原因是：本年度在职人员工资调增，绩效和艰苦边远补贴调标，相关人员经费较上年增加。本年增加维修（护）费、办公费、委托业务费、劳务费、办公设备购置等经费，相关支出增加。</w:t>
      </w:r>
    </w:p>
    <w:p w14:paraId="642EC240">
      <w:pPr>
        <w:spacing w:line="580" w:lineRule="exact"/>
        <w:ind w:firstLine="640"/>
        <w:jc w:val="both"/>
      </w:pPr>
      <w:r>
        <w:rPr>
          <w:rFonts w:ascii="仿宋_GB2312" w:hAnsi="仿宋_GB2312" w:eastAsia="仿宋_GB2312"/>
          <w:b w:val="0"/>
          <w:sz w:val="32"/>
        </w:rPr>
        <w:t>4.一般公共服务支出(类)政府办公厅（室）及相关机构事务(款)一般行政管理事务(项):支出决算数为42.24万元，比上年决算减少284.66万元，下降87.08%,主要原因是：本年减少岳普湖镇乡村振兴项目改造支出。</w:t>
      </w:r>
    </w:p>
    <w:p w14:paraId="0B2554B9">
      <w:pPr>
        <w:spacing w:line="580" w:lineRule="exact"/>
        <w:ind w:firstLine="640"/>
        <w:jc w:val="both"/>
      </w:pPr>
      <w:r>
        <w:rPr>
          <w:rFonts w:ascii="仿宋_GB2312" w:hAnsi="仿宋_GB2312" w:eastAsia="仿宋_GB2312"/>
          <w:b w:val="0"/>
          <w:sz w:val="32"/>
        </w:rPr>
        <w:t>5.一般公共服务支出(类)纪检监察事务(款)行政运行(项):支出决算数为0.00万元，比上年决算减少2.00万元，下降100.00%,主要原因是：本单位未安排纪检办公费支出。</w:t>
      </w:r>
    </w:p>
    <w:p w14:paraId="56359E08">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6.一般公共服务支出(类)纪检监察事务(款)其他纪检监察事务支出(项):支出决算数为2.00万元，比上年决算增加0.50万元，增长33.33%,主要原因是：本年增加2023年乡镇纪委（监察办）工作经费。</w:t>
      </w:r>
    </w:p>
    <w:p w14:paraId="3464D4ED">
      <w:pPr>
        <w:spacing w:line="580" w:lineRule="exact"/>
        <w:ind w:firstLine="640"/>
        <w:jc w:val="both"/>
      </w:pPr>
      <w:r>
        <w:rPr>
          <w:rFonts w:ascii="仿宋_GB2312" w:hAnsi="仿宋_GB2312" w:eastAsia="仿宋_GB2312"/>
          <w:b w:val="0"/>
          <w:sz w:val="32"/>
        </w:rPr>
        <w:t>7.一般公共服务支出(类)组织事务(款)其他组织事务支出(项):支出决算数为140.86万元，比上年决算增加17.09万元，增长13.81%,主要原因是：本年增加原深度贫困村第一书记为民办实事好事经费、村级运转经费，本年科目调整，为民办实事工作队项目经费由其他支出科目调整至其他组织事务支出科目列支，导致经费较上年增加。</w:t>
      </w:r>
    </w:p>
    <w:p w14:paraId="50A3A1CC">
      <w:pPr>
        <w:spacing w:line="580" w:lineRule="exact"/>
        <w:ind w:firstLine="640"/>
        <w:jc w:val="both"/>
      </w:pPr>
      <w:r>
        <w:rPr>
          <w:rFonts w:ascii="仿宋_GB2312" w:hAnsi="仿宋_GB2312" w:eastAsia="仿宋_GB2312"/>
          <w:b w:val="0"/>
          <w:sz w:val="32"/>
        </w:rPr>
        <w:t>8.一般公共服务支出(类)统战事务(款)宗教事务(项):支出决算数为6.46万元，比上年决算减少11.08万元，下降63.17%,主要原因是：本年ZJ活动场所修缮项目经费减少。</w:t>
      </w:r>
    </w:p>
    <w:p w14:paraId="31ED0092">
      <w:pPr>
        <w:spacing w:line="580" w:lineRule="exact"/>
        <w:ind w:firstLine="640"/>
        <w:jc w:val="both"/>
      </w:pPr>
      <w:r>
        <w:rPr>
          <w:rFonts w:ascii="仿宋_GB2312" w:hAnsi="仿宋_GB2312" w:eastAsia="仿宋_GB2312"/>
          <w:b w:val="0"/>
          <w:sz w:val="32"/>
        </w:rPr>
        <w:t>9.一般公共服务支出(类)统战事务(款)其他统战事务支出(项):支出决算数为0.00万元，比上年决算减少3.00万元，下降100.00%,主要原因是：本年度未安排ZCGS委员会工作经费。</w:t>
      </w:r>
    </w:p>
    <w:p w14:paraId="0DD7F382">
      <w:pPr>
        <w:spacing w:line="580" w:lineRule="exact"/>
        <w:ind w:firstLine="640"/>
        <w:jc w:val="both"/>
      </w:pPr>
      <w:r>
        <w:rPr>
          <w:rFonts w:ascii="仿宋_GB2312" w:hAnsi="仿宋_GB2312" w:eastAsia="仿宋_GB2312"/>
          <w:b w:val="0"/>
          <w:sz w:val="32"/>
        </w:rPr>
        <w:t>10.文化旅游体育与传媒支出(类)文化和旅游(款)其他文化和旅游支出(项):支出决算数为7.56万元，比上年决算减少45.72万元，下降85.81%,主要原因是：本年中央补助地方美术馆、公共图书馆、文化馆（站）免费开放补助项目经费减少。</w:t>
      </w:r>
    </w:p>
    <w:p w14:paraId="0DEC90AC">
      <w:pPr>
        <w:spacing w:line="580" w:lineRule="exact"/>
        <w:ind w:firstLine="640"/>
        <w:jc w:val="both"/>
      </w:pPr>
      <w:r>
        <w:rPr>
          <w:rFonts w:ascii="仿宋_GB2312" w:hAnsi="仿宋_GB2312" w:eastAsia="仿宋_GB2312"/>
          <w:b w:val="0"/>
          <w:sz w:val="32"/>
        </w:rPr>
        <w:t>11.文化旅游体育与传媒支出(类)其他文化旅游体育与传媒支出(款)其他文化旅游体育与传媒支出(项):支出决算数为46.00万元，比上年决算增加45.28万元，增长6,288.89%,主要原因是：本年增加2023年第二批中央补助地方公共文化服务体系建设补助资金。</w:t>
      </w:r>
    </w:p>
    <w:p w14:paraId="2855DF43">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12.社会保障和就业支出(类)行政事业单位养老支出(款)行政单位离退休(项):支出决算数为42.50万元，比上年决算增加9.99万元，增长30.73%,主要原因是：本年增加退休人员基础绩效奖，退休费支出增加。</w:t>
      </w:r>
    </w:p>
    <w:p w14:paraId="68584694">
      <w:pPr>
        <w:spacing w:line="580" w:lineRule="exact"/>
        <w:ind w:firstLine="640"/>
        <w:jc w:val="both"/>
      </w:pPr>
      <w:r>
        <w:rPr>
          <w:rFonts w:ascii="仿宋_GB2312" w:hAnsi="仿宋_GB2312" w:eastAsia="仿宋_GB2312"/>
          <w:b w:val="0"/>
          <w:sz w:val="32"/>
        </w:rPr>
        <w:t>13.社会保障和就业支出(类)行政事业单位养老支出(款)机关事业单位基本养老保险缴费支出(项):支出决算数为251.59万元，比上年决算增加12.57万元，增长5.26%,主要原因是：本年在职人员工资基数调增，养老缴费基数上涨，相应支出增加。</w:t>
      </w:r>
    </w:p>
    <w:p w14:paraId="16B41488">
      <w:pPr>
        <w:spacing w:line="580" w:lineRule="exact"/>
        <w:ind w:firstLine="640"/>
        <w:jc w:val="both"/>
      </w:pPr>
      <w:r>
        <w:rPr>
          <w:rFonts w:ascii="仿宋_GB2312" w:hAnsi="仿宋_GB2312" w:eastAsia="仿宋_GB2312"/>
          <w:b w:val="0"/>
          <w:sz w:val="32"/>
        </w:rPr>
        <w:t>14.社会保障和就业支出(类)行政事业单位养老支出(款)机关事业单位职业年金缴费支出(项):支出决算数为27.63万元，比上年决算减少11.06万元，下降28.59%,主要原因是：本年</w:t>
      </w:r>
      <w:r>
        <w:rPr>
          <w:rFonts w:hint="eastAsia" w:ascii="仿宋_GB2312" w:hAnsi="仿宋_GB2312" w:eastAsia="仿宋_GB2312"/>
          <w:b w:val="0"/>
          <w:sz w:val="32"/>
          <w:lang w:val="en-US" w:eastAsia="zh-CN"/>
        </w:rPr>
        <w:t>补发以前年度退休人员的剩余职业年金</w:t>
      </w:r>
      <w:r>
        <w:rPr>
          <w:rFonts w:ascii="仿宋_GB2312" w:hAnsi="仿宋_GB2312" w:eastAsia="仿宋_GB2312"/>
          <w:b w:val="0"/>
          <w:sz w:val="32"/>
        </w:rPr>
        <w:t>，职业年金缴费较上年减少。</w:t>
      </w:r>
    </w:p>
    <w:p w14:paraId="3BD81373">
      <w:pPr>
        <w:spacing w:line="580" w:lineRule="exact"/>
        <w:ind w:firstLine="640"/>
        <w:jc w:val="both"/>
      </w:pPr>
      <w:r>
        <w:rPr>
          <w:rFonts w:ascii="仿宋_GB2312" w:hAnsi="仿宋_GB2312" w:eastAsia="仿宋_GB2312"/>
          <w:b w:val="0"/>
          <w:sz w:val="32"/>
        </w:rPr>
        <w:t>15.社会保障和就业支出(类)临时救助(款)临时救助支出(项):支出决算数为0.00万元，比上年决算减少418.05万元，下降100.00%,主要原因是：本年临时救助项目由岳普湖县民政局自行发放，导致救助项目资金减少。</w:t>
      </w:r>
    </w:p>
    <w:p w14:paraId="466F2D63">
      <w:pPr>
        <w:spacing w:line="580" w:lineRule="exact"/>
        <w:ind w:firstLine="640"/>
        <w:jc w:val="both"/>
      </w:pPr>
      <w:r>
        <w:rPr>
          <w:rFonts w:ascii="仿宋_GB2312" w:hAnsi="仿宋_GB2312" w:eastAsia="仿宋_GB2312"/>
          <w:b w:val="0"/>
          <w:sz w:val="32"/>
        </w:rPr>
        <w:t>16.卫生健康支出(类)行政事业单位医疗(款)行政单位医疗(项):支出决算数为107.68万元，比上年决算减少8.05万元，下降6.96%,主要原因是：</w:t>
      </w:r>
      <w:r>
        <w:rPr>
          <w:rFonts w:hint="eastAsia" w:ascii="仿宋_GB2312" w:hAnsi="仿宋_GB2312" w:eastAsia="仿宋_GB2312"/>
          <w:b w:val="0"/>
          <w:sz w:val="32"/>
        </w:rPr>
        <w:t>因退休人员医疗保险制度改革，退休人员基本医疗不再由单位缴纳，导致经费较上年减少</w:t>
      </w:r>
      <w:r>
        <w:rPr>
          <w:rFonts w:ascii="仿宋_GB2312" w:hAnsi="仿宋_GB2312" w:eastAsia="仿宋_GB2312"/>
          <w:b w:val="0"/>
          <w:sz w:val="32"/>
        </w:rPr>
        <w:t>。</w:t>
      </w:r>
    </w:p>
    <w:p w14:paraId="49F62E8F">
      <w:pPr>
        <w:spacing w:line="580" w:lineRule="exact"/>
        <w:ind w:firstLine="640"/>
        <w:jc w:val="both"/>
      </w:pPr>
      <w:r>
        <w:rPr>
          <w:rFonts w:ascii="仿宋_GB2312" w:hAnsi="仿宋_GB2312" w:eastAsia="仿宋_GB2312"/>
          <w:b w:val="0"/>
          <w:sz w:val="32"/>
        </w:rPr>
        <w:t>17.卫生健康支出(类)行政事业单位医疗(款)公务员医疗补助(项):支出决算数为16.11万元，比上年决算减少3.02万元，下降15.79%,主要原因是：</w:t>
      </w:r>
      <w:r>
        <w:rPr>
          <w:rFonts w:hint="eastAsia" w:ascii="仿宋_GB2312" w:hAnsi="仿宋_GB2312" w:eastAsia="仿宋_GB2312"/>
          <w:b w:val="0"/>
          <w:sz w:val="32"/>
        </w:rPr>
        <w:t>因退休人员医疗保险制度改革，退休人员基本医疗不再由单位缴纳，导致经费较上年减少</w:t>
      </w:r>
      <w:r>
        <w:rPr>
          <w:rFonts w:ascii="仿宋_GB2312" w:hAnsi="仿宋_GB2312" w:eastAsia="仿宋_GB2312"/>
          <w:b w:val="0"/>
          <w:sz w:val="32"/>
        </w:rPr>
        <w:t>。</w:t>
      </w:r>
    </w:p>
    <w:p w14:paraId="31689B8D">
      <w:pPr>
        <w:spacing w:line="580" w:lineRule="exact"/>
        <w:ind w:firstLine="640"/>
        <w:jc w:val="both"/>
      </w:pPr>
      <w:r>
        <w:rPr>
          <w:rFonts w:ascii="仿宋_GB2312" w:hAnsi="仿宋_GB2312" w:eastAsia="仿宋_GB2312"/>
          <w:b w:val="0"/>
          <w:sz w:val="32"/>
        </w:rPr>
        <w:t>18.农林水支出(类)巩固脱贫攻坚成果衔接乡村振兴(款)农村基础设施建设(项):支出决算数为0.00万元，比上年决算减少632.00万元，下降100.00%,主要原因是：本年未安排农林水支出巩固脱贫攻坚成果衔接乡村振兴农村基础设施建设项目。</w:t>
      </w:r>
    </w:p>
    <w:p w14:paraId="4C8D8826">
      <w:pPr>
        <w:spacing w:line="580" w:lineRule="exact"/>
        <w:ind w:firstLine="640"/>
        <w:jc w:val="both"/>
      </w:pPr>
      <w:r>
        <w:rPr>
          <w:rFonts w:ascii="仿宋_GB2312" w:hAnsi="仿宋_GB2312" w:eastAsia="仿宋_GB2312"/>
          <w:b w:val="0"/>
          <w:sz w:val="32"/>
        </w:rPr>
        <w:t>19.农林水支出(类)农村综合改革(款)对村级公益事业建设的补助(项):支出决算数为148.46万元，比上年决算减少50.98万元，下降25.56%,主要原因是：本年减少农村综合改革转移支付资金项目。</w:t>
      </w:r>
    </w:p>
    <w:p w14:paraId="0522006C">
      <w:pPr>
        <w:spacing w:line="580" w:lineRule="exact"/>
        <w:ind w:firstLine="640"/>
        <w:jc w:val="both"/>
      </w:pPr>
      <w:r>
        <w:rPr>
          <w:rFonts w:ascii="仿宋_GB2312" w:hAnsi="仿宋_GB2312" w:eastAsia="仿宋_GB2312"/>
          <w:b w:val="0"/>
          <w:sz w:val="32"/>
        </w:rPr>
        <w:t>20.住房保障支出(类)住房改革支出(款)住房公积金(项):支出决算数为203.52万元，比上年决算增加14.48万元，增长7.66%,主要原因是：本年在职人员工资基数调增，公积金缴费基数上涨，相应支出增加。</w:t>
      </w:r>
    </w:p>
    <w:p w14:paraId="54E4BB74">
      <w:pPr>
        <w:spacing w:line="580" w:lineRule="exact"/>
        <w:ind w:firstLine="640"/>
        <w:jc w:val="both"/>
      </w:pPr>
      <w:r>
        <w:rPr>
          <w:rFonts w:ascii="仿宋_GB2312" w:hAnsi="仿宋_GB2312" w:eastAsia="仿宋_GB2312"/>
          <w:b w:val="0"/>
          <w:sz w:val="32"/>
        </w:rPr>
        <w:t>21.其他支出(类)其他支出(款)其他支出(项):支出决算数为0.00万元，比上年决算减少20.05万元，下降100.00%,主要原因是：本年科目调整，为民办实事工作队项目经费由其他支出科目调整至其他组织事务支出科目列支，导致经费较上年减少。</w:t>
      </w:r>
    </w:p>
    <w:p w14:paraId="28D4D218">
      <w:pPr>
        <w:spacing w:line="640" w:lineRule="exact"/>
        <w:ind w:firstLine="640"/>
        <w:jc w:val="both"/>
        <w:outlineLvl w:val="2"/>
      </w:pPr>
      <w:r>
        <w:rPr>
          <w:rFonts w:ascii="黑体" w:hAnsi="黑体" w:eastAsia="黑体"/>
          <w:sz w:val="32"/>
        </w:rPr>
        <w:t>六、一般公共预算财政拨款基本支出决算情况说明</w:t>
      </w:r>
    </w:p>
    <w:p w14:paraId="53E39C56">
      <w:pPr>
        <w:spacing w:line="580" w:lineRule="exact"/>
        <w:ind w:firstLine="640"/>
        <w:jc w:val="both"/>
      </w:pPr>
      <w:r>
        <w:rPr>
          <w:rFonts w:ascii="仿宋_GB2312" w:hAnsi="仿宋_GB2312" w:eastAsia="仿宋_GB2312"/>
          <w:b w:val="0"/>
          <w:sz w:val="32"/>
        </w:rPr>
        <w:t>2024年度一般公共预算财政拨款基本支出3,090.06万元，其中：</w:t>
      </w:r>
      <w:r>
        <w:rPr>
          <w:rFonts w:ascii="仿宋_GB2312" w:hAnsi="仿宋_GB2312" w:eastAsia="仿宋_GB2312"/>
          <w:b/>
          <w:sz w:val="32"/>
        </w:rPr>
        <w:t>人员经费2,768.83万元，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6F8A4755">
      <w:pPr>
        <w:spacing w:line="580" w:lineRule="exact"/>
        <w:ind w:firstLine="640"/>
        <w:jc w:val="both"/>
      </w:pPr>
      <w:r>
        <w:rPr>
          <w:rFonts w:ascii="仿宋_GB2312" w:hAnsi="仿宋_GB2312" w:eastAsia="仿宋_GB2312"/>
          <w:b/>
          <w:sz w:val="32"/>
        </w:rPr>
        <w:t>公用经费321.23万元，</w:t>
      </w:r>
      <w:r>
        <w:rPr>
          <w:rFonts w:ascii="仿宋_GB2312" w:hAnsi="仿宋_GB2312" w:eastAsia="仿宋_GB2312"/>
          <w:b w:val="0"/>
          <w:sz w:val="32"/>
        </w:rPr>
        <w:t>包括：办公费、印刷费、水费、电费、邮电费、取暖费、维修（护）费、租赁费、专用材料费、劳务费、委托业务费、公务用车运行维护费、其他交通费用、其他商品和服务支出、办公设备购置、专用设备购置、公务用车购置。</w:t>
      </w:r>
    </w:p>
    <w:p w14:paraId="40C2561E">
      <w:pPr>
        <w:spacing w:line="640" w:lineRule="exact"/>
        <w:ind w:firstLine="640"/>
        <w:jc w:val="both"/>
        <w:outlineLvl w:val="2"/>
      </w:pPr>
      <w:r>
        <w:rPr>
          <w:rFonts w:ascii="黑体" w:hAnsi="黑体" w:eastAsia="黑体"/>
          <w:sz w:val="32"/>
        </w:rPr>
        <w:t>七、政府性基金预算财政拨款收入支出决算情况说明</w:t>
      </w:r>
    </w:p>
    <w:p w14:paraId="3509A5D6">
      <w:pPr>
        <w:spacing w:line="580" w:lineRule="exact"/>
        <w:ind w:firstLine="640"/>
        <w:jc w:val="both"/>
      </w:pPr>
      <w:r>
        <w:rPr>
          <w:rFonts w:ascii="仿宋_GB2312" w:hAnsi="仿宋_GB2312" w:eastAsia="仿宋_GB2312"/>
          <w:b/>
          <w:sz w:val="32"/>
        </w:rPr>
        <w:t>2024年度政府性基金预算财政拨款收入总计217.45万元，</w:t>
      </w:r>
      <w:r>
        <w:rPr>
          <w:rFonts w:ascii="仿宋_GB2312" w:hAnsi="仿宋_GB2312" w:eastAsia="仿宋_GB2312"/>
          <w:b w:val="0"/>
          <w:sz w:val="32"/>
        </w:rPr>
        <w:t>其中：年初结转和结余0.00万元，本年收入217.45万元。</w:t>
      </w:r>
      <w:r>
        <w:rPr>
          <w:rFonts w:ascii="仿宋_GB2312" w:hAnsi="仿宋_GB2312" w:eastAsia="仿宋_GB2312"/>
          <w:b/>
          <w:sz w:val="32"/>
        </w:rPr>
        <w:t>政府性基金预算财政拨款支出总计217.45万元，</w:t>
      </w:r>
      <w:r>
        <w:rPr>
          <w:rFonts w:ascii="仿宋_GB2312" w:hAnsi="仿宋_GB2312" w:eastAsia="仿宋_GB2312"/>
          <w:b w:val="0"/>
          <w:sz w:val="32"/>
        </w:rPr>
        <w:t>其中：年末结转和结余0.00万元，本年支出217.45万元。</w:t>
      </w:r>
    </w:p>
    <w:p w14:paraId="0679CB9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增加207.45万元，增长2,074.50%，主要原因是：本年增加G219线国道建设土地补偿款、岳普湖镇小游园建设土地补偿、林木补偿费项目、2024年1村6组土地补偿款、彩票公益金支持体育事业发展项目。</w:t>
      </w:r>
      <w:r>
        <w:rPr>
          <w:rFonts w:ascii="仿宋_GB2312" w:hAnsi="仿宋_GB2312" w:eastAsia="仿宋_GB2312"/>
          <w:b/>
          <w:sz w:val="32"/>
        </w:rPr>
        <w:t>与年初预算相比，</w:t>
      </w:r>
      <w:r>
        <w:rPr>
          <w:rFonts w:ascii="仿宋_GB2312" w:hAnsi="仿宋_GB2312" w:eastAsia="仿宋_GB2312"/>
          <w:b w:val="0"/>
          <w:sz w:val="32"/>
        </w:rPr>
        <w:t>年初预算数12.78万元，决算数217.45万元，预决算差异率1601.49%，主要原因是：年中追加G219线国道建设土地补偿款、岳普湖镇小游园建设土地补偿、林木补偿费项目、2024年1村6组土地补偿款、彩票公益金支持体育事业发展项目，导致预决算存在差异。</w:t>
      </w:r>
    </w:p>
    <w:p w14:paraId="580B51ED">
      <w:pPr>
        <w:spacing w:line="580" w:lineRule="exact"/>
        <w:ind w:firstLine="640"/>
        <w:jc w:val="both"/>
      </w:pPr>
      <w:r>
        <w:rPr>
          <w:rFonts w:ascii="仿宋_GB2312" w:hAnsi="仿宋_GB2312" w:eastAsia="仿宋_GB2312"/>
          <w:b w:val="0"/>
          <w:sz w:val="32"/>
        </w:rPr>
        <w:t>政府性基金预算财政拨款支出217.45万元。</w:t>
      </w:r>
    </w:p>
    <w:p w14:paraId="3D62D355">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1.城乡社区支出(类)国有土地使用权出让收入安排的支出(款)征地和拆迁补偿支出(项):支出决算数为10.28万元，比上年决算增加10.28万元，增长100.00%,主要原因是：本年增加1村6组土地补偿费支出。</w:t>
      </w:r>
    </w:p>
    <w:p w14:paraId="64378C4A">
      <w:pPr>
        <w:spacing w:line="580" w:lineRule="exact"/>
        <w:ind w:firstLine="640"/>
        <w:jc w:val="both"/>
      </w:pPr>
      <w:r>
        <w:rPr>
          <w:rFonts w:ascii="仿宋_GB2312" w:hAnsi="仿宋_GB2312" w:eastAsia="仿宋_GB2312"/>
          <w:b w:val="0"/>
          <w:sz w:val="32"/>
        </w:rPr>
        <w:t>2.城乡社区支出(类)国有土地使用权出让收入安排的支出(款)农业农村生态环境支出(项):支出决算数为204.67万元，比上年决算增加204.67万元，增长100.00%,主要原因是：本年增加G219线国道建设土地补偿款、岳普湖镇小游园建设土地补偿、林木补偿费项目、彩票公益金支持体育事业发展项目。</w:t>
      </w:r>
    </w:p>
    <w:p w14:paraId="5773344B">
      <w:pPr>
        <w:spacing w:line="580" w:lineRule="exact"/>
        <w:ind w:firstLine="640"/>
        <w:jc w:val="both"/>
      </w:pPr>
      <w:r>
        <w:rPr>
          <w:rFonts w:ascii="仿宋_GB2312" w:hAnsi="仿宋_GB2312" w:eastAsia="仿宋_GB2312"/>
          <w:b w:val="0"/>
          <w:sz w:val="32"/>
        </w:rPr>
        <w:t>3.其他支出(类)彩票公益金安排的支出(款)用于社会福利的彩票公益金支出(项):支出决算数为0.00万元，比上年决算减少10.00万元，下降100.00%,主要原因是：本年未安排岳普湖镇社工站建设项目。</w:t>
      </w:r>
    </w:p>
    <w:p w14:paraId="4424AF36">
      <w:pPr>
        <w:spacing w:line="580" w:lineRule="exact"/>
        <w:ind w:firstLine="640"/>
        <w:jc w:val="both"/>
      </w:pPr>
      <w:r>
        <w:rPr>
          <w:rFonts w:ascii="仿宋_GB2312" w:hAnsi="仿宋_GB2312" w:eastAsia="仿宋_GB2312"/>
          <w:b w:val="0"/>
          <w:sz w:val="32"/>
        </w:rPr>
        <w:t>4.其他支出(类)彩票公益金安排的支出(款)用于体育事业的彩票公益金支出(项):支出决算数为2.50万元，比上年决算增加2.50万元，增长100.00%,主要原因是：本年增加2023年彩票公益金支持体育事业发展项目。</w:t>
      </w:r>
    </w:p>
    <w:p w14:paraId="547C2BD6">
      <w:pPr>
        <w:spacing w:line="640" w:lineRule="exact"/>
        <w:ind w:firstLine="640"/>
        <w:jc w:val="both"/>
        <w:outlineLvl w:val="2"/>
      </w:pPr>
      <w:r>
        <w:rPr>
          <w:rFonts w:ascii="黑体" w:hAnsi="黑体" w:eastAsia="黑体"/>
          <w:sz w:val="32"/>
        </w:rPr>
        <w:t>八、国有资本经营预算财政拨款收入支出决算情况说明</w:t>
      </w:r>
    </w:p>
    <w:p w14:paraId="26431844">
      <w:pPr>
        <w:spacing w:line="580" w:lineRule="exact"/>
        <w:ind w:firstLine="640"/>
        <w:jc w:val="both"/>
      </w:pPr>
      <w:r>
        <w:rPr>
          <w:rFonts w:ascii="仿宋_GB2312" w:hAnsi="仿宋_GB2312" w:eastAsia="仿宋_GB2312"/>
          <w:b/>
          <w:sz w:val="32"/>
        </w:rPr>
        <w:t>2024年度国有资本经营预算财政拨款收入总计1.04万元，</w:t>
      </w:r>
      <w:r>
        <w:rPr>
          <w:rFonts w:ascii="仿宋_GB2312" w:hAnsi="仿宋_GB2312" w:eastAsia="仿宋_GB2312"/>
          <w:b w:val="0"/>
          <w:sz w:val="32"/>
        </w:rPr>
        <w:t>其中：年初结转和结余0.00万元，本年收入1.04万元。</w:t>
      </w:r>
      <w:r>
        <w:rPr>
          <w:rFonts w:ascii="仿宋_GB2312" w:hAnsi="仿宋_GB2312" w:eastAsia="仿宋_GB2312"/>
          <w:b/>
          <w:sz w:val="32"/>
        </w:rPr>
        <w:t>国有资本经营预算财政拨款支出总计1.04万元，</w:t>
      </w:r>
      <w:r>
        <w:rPr>
          <w:rFonts w:ascii="仿宋_GB2312" w:hAnsi="仿宋_GB2312" w:eastAsia="仿宋_GB2312"/>
          <w:b w:val="0"/>
          <w:sz w:val="32"/>
        </w:rPr>
        <w:t>其中：年末结转和结余0.00万元，本年支出1.04万元。</w:t>
      </w:r>
    </w:p>
    <w:p w14:paraId="4EA2F6D8">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减少0.03万元，下降2.80%，主要原因是：本年团结社区国有企业退休人员减少，导致2024年国有资本经营预算财政拨款金额减少。</w:t>
      </w:r>
      <w:r>
        <w:rPr>
          <w:rFonts w:ascii="仿宋_GB2312" w:hAnsi="仿宋_GB2312" w:eastAsia="仿宋_GB2312"/>
          <w:b/>
          <w:sz w:val="32"/>
        </w:rPr>
        <w:t>与年初预算相比，</w:t>
      </w:r>
      <w:r>
        <w:rPr>
          <w:rFonts w:ascii="仿宋_GB2312" w:hAnsi="仿宋_GB2312" w:eastAsia="仿宋_GB2312"/>
          <w:b w:val="0"/>
          <w:sz w:val="32"/>
        </w:rPr>
        <w:t>年初预算数1.04万元，决算数1.04万元，预决算差异率0.00%，主要原因是：严格按照预算执行，预决算无差异。</w:t>
      </w:r>
    </w:p>
    <w:p w14:paraId="470C64C9">
      <w:pPr>
        <w:spacing w:line="580" w:lineRule="exact"/>
        <w:ind w:firstLine="640"/>
        <w:jc w:val="both"/>
      </w:pPr>
      <w:r>
        <w:rPr>
          <w:rFonts w:ascii="仿宋_GB2312" w:hAnsi="仿宋_GB2312" w:eastAsia="仿宋_GB2312"/>
          <w:sz w:val="32"/>
        </w:rPr>
        <w:t>国有资本经营预算财政拨款支出1.04万元。</w:t>
      </w:r>
    </w:p>
    <w:p w14:paraId="37D2A3D2">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1.04万元，比上年决算减少0.03万元，下降2.80%,主要原因是：本年团结社区国有企业退休人员减少，导致2024年国有资本经营预算财政拨款金额减少。</w:t>
      </w:r>
    </w:p>
    <w:p w14:paraId="5F7504A7">
      <w:pPr>
        <w:spacing w:line="640" w:lineRule="exact"/>
        <w:ind w:firstLine="640"/>
        <w:jc w:val="both"/>
        <w:outlineLvl w:val="2"/>
      </w:pPr>
      <w:r>
        <w:rPr>
          <w:rFonts w:ascii="黑体" w:hAnsi="黑体" w:eastAsia="黑体"/>
          <w:sz w:val="32"/>
        </w:rPr>
        <w:t>九、财政拨款“三公”经费支出决算情况说明</w:t>
      </w:r>
    </w:p>
    <w:p w14:paraId="029B2746">
      <w:pPr>
        <w:spacing w:line="580" w:lineRule="exact"/>
        <w:ind w:firstLine="640"/>
        <w:jc w:val="both"/>
      </w:pPr>
      <w:r>
        <w:rPr>
          <w:rFonts w:ascii="仿宋_GB2312" w:hAnsi="仿宋_GB2312" w:eastAsia="仿宋_GB2312"/>
          <w:b/>
          <w:sz w:val="32"/>
        </w:rPr>
        <w:t>2024年度财政拨款“三公”经费支出24.50万元，</w:t>
      </w:r>
      <w:r>
        <w:rPr>
          <w:rFonts w:ascii="仿宋_GB2312" w:hAnsi="仿宋_GB2312" w:eastAsia="仿宋_GB2312"/>
          <w:b w:val="0"/>
          <w:sz w:val="32"/>
        </w:rPr>
        <w:t>比上年增加15.34万元，增长167.47%，主要原因是：本年新购入公务用车，公务用车购置费较上年增加。其中：因公出国（境）费支出0.00万元，占0.00%，比上年增加0.00万元，增长0.00%，主要原因是：2023年与2024年均未安排因公出国（境）费支出。公务用车购置及运行维护费支出24.50万元，占100.00%，比上年增加15.34万元，增长167.47%，主要原因是：本年新购入公务用车，公务用车购置费较上年增加。公务接待费支出0.00万元，占0.00%，比上年增加0.00万元，增长0.00%，主要原因是：2023年与2024年均未安排公务接待费支出。</w:t>
      </w:r>
    </w:p>
    <w:p w14:paraId="55D9C066">
      <w:pPr>
        <w:spacing w:line="580" w:lineRule="exact"/>
        <w:ind w:firstLine="640"/>
        <w:jc w:val="both"/>
      </w:pPr>
      <w:r>
        <w:rPr>
          <w:rFonts w:ascii="仿宋_GB2312" w:hAnsi="仿宋_GB2312" w:eastAsia="仿宋_GB2312"/>
          <w:b/>
          <w:sz w:val="32"/>
        </w:rPr>
        <w:t>具体情况如下：</w:t>
      </w:r>
    </w:p>
    <w:p w14:paraId="76C570F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6C35D4A">
      <w:pPr>
        <w:spacing w:line="580" w:lineRule="exact"/>
        <w:ind w:firstLine="640"/>
        <w:jc w:val="both"/>
      </w:pPr>
      <w:r>
        <w:rPr>
          <w:rFonts w:ascii="仿宋_GB2312" w:hAnsi="仿宋_GB2312" w:eastAsia="仿宋_GB2312"/>
          <w:b w:val="0"/>
          <w:sz w:val="32"/>
        </w:rPr>
        <w:t>公务用车购置及运行维护费24.50万元，其中：公务用车购置费13.98万元，公务用车运行维护费10.52万元。公务用车运行维护费开支内容包括车辆加油费、维修费、保险费、审车费、过路费等。公务用车购置数1辆，公务用车保有量5辆。国有资产占用情况中固定资产车辆17辆，与公务用车保有量差异原因是：差异车辆为一般业务用车，预算未安排公务用车运行维护费，由其他交通费用保障。</w:t>
      </w:r>
    </w:p>
    <w:p w14:paraId="47AC1E7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96CD41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24.50万元，决算数24.50万元，预决算差异率0.00%，主要原因是：严格按照预算执行，预决算无差异。其中：因公出国（境）费全年预算数0.00万元，决算数0.00万元，预决算差异率0.00%，主要原因是：本单位无因公出国（境）费。公务用车购置费全年预算数13.98万元，决算数13.98万元，预决算差异率0.00%，主要原因是：严格按照预算执行，预决算无差异。公务用车运行维护费全年预算数10.52万元，决算数10.52万元，预决算差异率0.00%，主要原因是：严格按照预算执行，预决算无差异。公务接待费全年预算数0.00万元，决算数0.00万元，预决算差异率0.00%，主要原因是：本单位无公务接待费。</w:t>
      </w:r>
    </w:p>
    <w:p w14:paraId="412E8A32">
      <w:pPr>
        <w:spacing w:line="640" w:lineRule="exact"/>
        <w:ind w:firstLine="640"/>
        <w:jc w:val="both"/>
        <w:outlineLvl w:val="2"/>
      </w:pPr>
      <w:r>
        <w:rPr>
          <w:rFonts w:ascii="黑体" w:hAnsi="黑体" w:eastAsia="黑体"/>
          <w:sz w:val="32"/>
        </w:rPr>
        <w:t>十、其他重要事项的情况说明</w:t>
      </w:r>
    </w:p>
    <w:p w14:paraId="609633FE">
      <w:pPr>
        <w:spacing w:line="640" w:lineRule="exact"/>
        <w:ind w:firstLine="640"/>
        <w:jc w:val="both"/>
        <w:outlineLvl w:val="3"/>
      </w:pPr>
      <w:r>
        <w:rPr>
          <w:rFonts w:ascii="楷体_GB2312" w:hAnsi="楷体_GB2312" w:eastAsia="楷体_GB2312"/>
          <w:b/>
          <w:sz w:val="32"/>
        </w:rPr>
        <w:t>（一）机关运行经费及公用经费支出情况</w:t>
      </w:r>
    </w:p>
    <w:p w14:paraId="4D1A8742">
      <w:pPr>
        <w:spacing w:line="580" w:lineRule="exact"/>
        <w:ind w:firstLine="640"/>
        <w:jc w:val="both"/>
      </w:pPr>
      <w:r>
        <w:rPr>
          <w:rFonts w:ascii="仿宋_GB2312" w:hAnsi="仿宋_GB2312" w:eastAsia="仿宋_GB2312"/>
          <w:b w:val="0"/>
          <w:sz w:val="32"/>
        </w:rPr>
        <w:t>2024年度岳普湖县岳普湖镇人民政府（行政单位和参照公务员法管理事业单位）机关运行经费支出321.23万元，比上年增加199.36万元，增长163.58%，主要原因是：本年增加维修（护）费、办公费、委托业务费、劳务费、办公设备购置等经费支出，导致机关运行经费支出增加。</w:t>
      </w:r>
    </w:p>
    <w:p w14:paraId="2B600756">
      <w:pPr>
        <w:spacing w:line="640" w:lineRule="exact"/>
        <w:ind w:firstLine="640"/>
        <w:jc w:val="both"/>
        <w:outlineLvl w:val="3"/>
      </w:pPr>
      <w:r>
        <w:rPr>
          <w:rFonts w:ascii="楷体_GB2312" w:hAnsi="楷体_GB2312" w:eastAsia="楷体_GB2312"/>
          <w:b/>
          <w:sz w:val="32"/>
        </w:rPr>
        <w:t>（二）政府采购情况</w:t>
      </w:r>
    </w:p>
    <w:p w14:paraId="0016DC00">
      <w:pPr>
        <w:spacing w:line="580" w:lineRule="exact"/>
        <w:ind w:firstLine="640"/>
        <w:jc w:val="both"/>
      </w:pPr>
      <w:r>
        <w:rPr>
          <w:rFonts w:ascii="仿宋_GB2312" w:hAnsi="仿宋_GB2312" w:eastAsia="仿宋_GB2312"/>
          <w:b w:val="0"/>
          <w:sz w:val="32"/>
        </w:rPr>
        <w:t>2024年度政府采购支出总额119.16万元，其中：政府采购货物支出107.10万元、政府采购工程支出9.27万元、政府采购服务支出2.79万元。</w:t>
      </w:r>
    </w:p>
    <w:p w14:paraId="123B9526">
      <w:pPr>
        <w:spacing w:line="580" w:lineRule="exact"/>
        <w:ind w:firstLine="640"/>
        <w:jc w:val="both"/>
      </w:pPr>
      <w:r>
        <w:rPr>
          <w:rFonts w:ascii="仿宋_GB2312" w:hAnsi="仿宋_GB2312" w:eastAsia="仿宋_GB2312"/>
          <w:b w:val="0"/>
          <w:sz w:val="32"/>
        </w:rPr>
        <w:t>授予中小企业合同金额87.61万元，占政府采购支出总额的73.52%，其中：授予小微企业合同金额77.23万元，占政府采购支出总额的64.81%。</w:t>
      </w:r>
    </w:p>
    <w:p w14:paraId="6449FFDD">
      <w:pPr>
        <w:spacing w:line="640" w:lineRule="exact"/>
        <w:ind w:firstLine="640"/>
        <w:jc w:val="both"/>
        <w:outlineLvl w:val="3"/>
      </w:pPr>
      <w:r>
        <w:rPr>
          <w:rFonts w:ascii="楷体_GB2312" w:hAnsi="楷体_GB2312" w:eastAsia="楷体_GB2312"/>
          <w:b/>
          <w:sz w:val="32"/>
        </w:rPr>
        <w:t>（三）国有资产占用情况说明</w:t>
      </w:r>
    </w:p>
    <w:p w14:paraId="75F19BE7">
      <w:pPr>
        <w:spacing w:line="580" w:lineRule="exact"/>
        <w:ind w:firstLine="640"/>
        <w:jc w:val="both"/>
      </w:pPr>
      <w:r>
        <w:rPr>
          <w:rFonts w:ascii="仿宋_GB2312" w:hAnsi="仿宋_GB2312" w:eastAsia="仿宋_GB2312"/>
          <w:b w:val="0"/>
          <w:sz w:val="32"/>
        </w:rPr>
        <w:t>截至2024年12月31日，房屋7,579.87平方米，价值1,076.55万元。车辆17辆，价值107.80万元，其中：副部（省）级及以上领导用车0辆、主要负责人用车0辆、机要通信用车0辆、应急保障用车0辆、执法执勤用车2辆、特种专业技术用车0辆、离退休干部服务用车0辆、其他用车15辆，其他用车主要是：4辆单位业务用车，11辆巡逻车。单价100万元（含）以上设备（不含车辆）0台（套）。</w:t>
      </w:r>
    </w:p>
    <w:p w14:paraId="5EBB0D28">
      <w:pPr>
        <w:spacing w:line="640" w:lineRule="exact"/>
        <w:ind w:firstLine="640"/>
        <w:jc w:val="both"/>
        <w:outlineLvl w:val="2"/>
      </w:pPr>
      <w:r>
        <w:rPr>
          <w:rFonts w:ascii="黑体" w:hAnsi="黑体" w:eastAsia="黑体"/>
          <w:sz w:val="32"/>
        </w:rPr>
        <w:t>十一、预算绩效的情况说明</w:t>
      </w:r>
    </w:p>
    <w:p w14:paraId="574E499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4,262.67万元，实际执行总额4,262.67万元；预算绩效评价项目6个，全年预算数724.14万元，全年执行数724.14万元。预算绩效管理取得的成效：严格按照相关的专项资金管理办法，实行多重审批控制专项经费的支出。项目根据实际情况做出合理预算，支出严格控制在预算范围内，本着节约成本，防止资源浪费的原则将项目成效最大化。发现的问题及原因：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下一步改进措施：加大绩效工作宣传力度，强化绩效理念。完善绩效指标，提高整体绩效目标质量。提升预算精细化管理水平。继续完善预算绩效管理相关工作制度，建立全过程预算绩效管理链条，有效贯彻落实全面实施绩效管理的精神。具体附整体支出绩效自评表，项目支出绩效自评表和评价报告。</w:t>
      </w:r>
    </w:p>
    <w:p w14:paraId="650FA76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A719B3E">
        <w:tc>
          <w:tcPr>
            <w:tcW w:w="8847" w:type="dxa"/>
            <w:gridSpan w:val="9"/>
            <w:vAlign w:val="center"/>
          </w:tcPr>
          <w:p w14:paraId="4A659EF0">
            <w:pPr>
              <w:jc w:val="center"/>
            </w:pPr>
            <w:r>
              <w:rPr>
                <w:rFonts w:ascii="宋体" w:hAnsi="宋体" w:eastAsia="宋体"/>
                <w:sz w:val="24"/>
              </w:rPr>
              <w:t>单位整体支出绩效自评表</w:t>
            </w:r>
          </w:p>
        </w:tc>
      </w:tr>
      <w:tr w14:paraId="5F135342">
        <w:tblPrEx>
          <w:tblCellMar>
            <w:top w:w="0" w:type="dxa"/>
            <w:left w:w="108" w:type="dxa"/>
            <w:bottom w:w="0" w:type="dxa"/>
            <w:right w:w="108" w:type="dxa"/>
          </w:tblCellMar>
        </w:tblPrEx>
        <w:tc>
          <w:tcPr>
            <w:tcW w:w="8847" w:type="dxa"/>
            <w:gridSpan w:val="9"/>
            <w:vAlign w:val="center"/>
          </w:tcPr>
          <w:p w14:paraId="797FEA48">
            <w:pPr>
              <w:jc w:val="center"/>
            </w:pPr>
            <w:r>
              <w:rPr>
                <w:rFonts w:ascii="宋体" w:hAnsi="宋体" w:eastAsia="宋体"/>
                <w:sz w:val="24"/>
              </w:rPr>
              <w:t>（2024年度）</w:t>
            </w:r>
          </w:p>
        </w:tc>
      </w:tr>
      <w:tr w14:paraId="78445BF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C468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47CD38D">
            <w:pPr>
              <w:jc w:val="center"/>
            </w:pPr>
            <w:r>
              <w:rPr>
                <w:rFonts w:ascii="宋体" w:hAnsi="宋体" w:eastAsia="宋体"/>
                <w:sz w:val="16"/>
              </w:rPr>
              <w:t>岳普湖县岳普湖镇人民政府</w:t>
            </w:r>
          </w:p>
        </w:tc>
      </w:tr>
      <w:tr w14:paraId="3655991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3B67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A341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F91B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7116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5A0D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7E95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6EA0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BBCEE">
            <w:pPr>
              <w:jc w:val="center"/>
            </w:pPr>
            <w:r>
              <w:rPr>
                <w:rFonts w:ascii="宋体" w:hAnsi="宋体" w:eastAsia="宋体"/>
                <w:sz w:val="16"/>
              </w:rPr>
              <w:t>得分</w:t>
            </w:r>
          </w:p>
        </w:tc>
      </w:tr>
      <w:tr w14:paraId="76AF9C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8606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11ED1">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F9429">
            <w:pPr>
              <w:jc w:val="center"/>
            </w:pPr>
            <w:r>
              <w:rPr>
                <w:rFonts w:ascii="宋体" w:hAnsi="宋体" w:eastAsia="宋体"/>
                <w:sz w:val="16"/>
              </w:rPr>
              <w:t>3,135.90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61D34">
            <w:pPr>
              <w:jc w:val="center"/>
            </w:pPr>
            <w:r>
              <w:rPr>
                <w:rFonts w:ascii="宋体" w:hAnsi="宋体" w:eastAsia="宋体"/>
                <w:sz w:val="16"/>
              </w:rPr>
              <w:t>4,262.67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50192">
            <w:pPr>
              <w:jc w:val="center"/>
            </w:pPr>
            <w:r>
              <w:rPr>
                <w:rFonts w:ascii="宋体" w:hAnsi="宋体" w:eastAsia="宋体"/>
                <w:sz w:val="16"/>
              </w:rPr>
              <w:t>4,262.67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0FC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130F0">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FF901">
            <w:pPr>
              <w:jc w:val="center"/>
            </w:pPr>
            <w:r>
              <w:rPr>
                <w:rFonts w:ascii="宋体" w:hAnsi="宋体" w:eastAsia="宋体"/>
                <w:sz w:val="16"/>
              </w:rPr>
              <w:t>10</w:t>
            </w:r>
          </w:p>
        </w:tc>
      </w:tr>
      <w:tr w14:paraId="1EA9E1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B86C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836B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BCFAC">
            <w:pPr>
              <w:jc w:val="center"/>
            </w:pPr>
            <w:r>
              <w:rPr>
                <w:rFonts w:ascii="宋体" w:hAnsi="宋体" w:eastAsia="宋体"/>
                <w:sz w:val="16"/>
              </w:rPr>
              <w:t>60.23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DAA86">
            <w:pPr>
              <w:jc w:val="center"/>
            </w:pPr>
            <w:r>
              <w:rPr>
                <w:rFonts w:ascii="宋体" w:hAnsi="宋体" w:eastAsia="宋体"/>
                <w:sz w:val="16"/>
              </w:rPr>
              <w:t>971.18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0E4B2">
            <w:pPr>
              <w:jc w:val="center"/>
            </w:pPr>
            <w:r>
              <w:rPr>
                <w:rFonts w:ascii="宋体" w:hAnsi="宋体" w:eastAsia="宋体"/>
                <w:sz w:val="16"/>
              </w:rPr>
              <w:t>971.18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4D9D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9556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ACDFD">
            <w:pPr>
              <w:jc w:val="center"/>
            </w:pPr>
            <w:r>
              <w:rPr>
                <w:rFonts w:ascii="宋体" w:hAnsi="宋体" w:eastAsia="宋体"/>
                <w:sz w:val="16"/>
              </w:rPr>
              <w:t>—</w:t>
            </w:r>
          </w:p>
        </w:tc>
      </w:tr>
      <w:tr w14:paraId="3F5D76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A6CD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2C5D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F67FE">
            <w:pPr>
              <w:jc w:val="center"/>
            </w:pPr>
            <w:r>
              <w:rPr>
                <w:rFonts w:ascii="宋体" w:hAnsi="宋体" w:eastAsia="宋体"/>
                <w:sz w:val="16"/>
              </w:rPr>
              <w:t>3,075.67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0737E">
            <w:pPr>
              <w:jc w:val="center"/>
            </w:pPr>
            <w:r>
              <w:rPr>
                <w:rFonts w:ascii="宋体" w:hAnsi="宋体" w:eastAsia="宋体"/>
                <w:sz w:val="16"/>
              </w:rPr>
              <w:t>2,732.43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3BA6C">
            <w:pPr>
              <w:jc w:val="center"/>
            </w:pPr>
            <w:r>
              <w:rPr>
                <w:rFonts w:ascii="宋体" w:hAnsi="宋体" w:eastAsia="宋体"/>
                <w:sz w:val="16"/>
              </w:rPr>
              <w:t>2,732.43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F10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32CD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68253">
            <w:pPr>
              <w:jc w:val="center"/>
            </w:pPr>
            <w:r>
              <w:rPr>
                <w:rFonts w:ascii="宋体" w:hAnsi="宋体" w:eastAsia="宋体"/>
                <w:sz w:val="16"/>
              </w:rPr>
              <w:t>—</w:t>
            </w:r>
          </w:p>
        </w:tc>
      </w:tr>
      <w:tr w14:paraId="3F96B4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28B9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FB2C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2154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75212">
            <w:pPr>
              <w:jc w:val="center"/>
            </w:pPr>
            <w:r>
              <w:rPr>
                <w:rFonts w:ascii="宋体" w:hAnsi="宋体" w:eastAsia="宋体"/>
                <w:sz w:val="16"/>
              </w:rPr>
              <w:t>559.06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813DD">
            <w:pPr>
              <w:jc w:val="center"/>
            </w:pPr>
            <w:r>
              <w:rPr>
                <w:rFonts w:ascii="宋体" w:hAnsi="宋体" w:eastAsia="宋体"/>
                <w:sz w:val="16"/>
              </w:rPr>
              <w:t>559.06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A2C1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FE32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E3163">
            <w:pPr>
              <w:jc w:val="center"/>
            </w:pPr>
            <w:r>
              <w:rPr>
                <w:rFonts w:ascii="宋体" w:hAnsi="宋体" w:eastAsia="宋体"/>
                <w:sz w:val="16"/>
              </w:rPr>
              <w:t>—</w:t>
            </w:r>
          </w:p>
        </w:tc>
      </w:tr>
      <w:tr w14:paraId="36EA433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6095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380B5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0218A0">
            <w:pPr>
              <w:jc w:val="center"/>
            </w:pPr>
            <w:r>
              <w:rPr>
                <w:rFonts w:ascii="宋体" w:hAnsi="宋体" w:eastAsia="宋体"/>
                <w:sz w:val="16"/>
              </w:rPr>
              <w:t>实际完成情况</w:t>
            </w:r>
          </w:p>
        </w:tc>
      </w:tr>
      <w:tr w14:paraId="3DE001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CB468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A72D81">
            <w:pPr>
              <w:jc w:val="both"/>
            </w:pPr>
            <w:r>
              <w:rPr>
                <w:rFonts w:ascii="宋体" w:hAnsi="宋体" w:eastAsia="宋体"/>
                <w:sz w:val="16"/>
              </w:rPr>
              <w:t>推进乡村振兴村级数量3个，全力抓好脱贫攻坚与乡村振兴有效衔接工作。完成基层党组织建设，不断夯实党的执政基础，培养更多高素质专业化干部，保障加强党的基层组织和农村基层政权建设以及农村社会主义民主政治和法治建设。按期完成民族团结宣传教育工作，铸牢中华民族共同体意识。按期完成以就业、教育、医疗、社保等为重点的惠民工程，保障基层民生工作。提升社会公众服务能力，保障乡镇政府公信力。提升农村农业发展质量，促进农业高质高效，加快农业农村现代化，统筹推进乡镇民生福祉和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CD121E">
            <w:pPr>
              <w:jc w:val="both"/>
            </w:pPr>
            <w:r>
              <w:rPr>
                <w:rFonts w:ascii="宋体" w:hAnsi="宋体" w:eastAsia="宋体"/>
                <w:sz w:val="16"/>
              </w:rPr>
              <w:t>岳普湖县岳普湖镇人民政府已完成本年度乡村振兴推进任务，推进乡村振兴村级数量3个，巩固拓展脱贫攻坚成果，严格落实“四个不摘”要求，常态化抓好防止返贫监测帮扶机制，坚决守住不发生规模性返贫底线。已完成本年度基层党组织建设工作，完成率100%，进一步梳理职责清单，明确职责任务和行政职能，深化“五个好”党支部建设标准化规范化创建，培养更多高素质专业化干部，持续深化全面从严治党向各领域延伸，夯实党在基层的执政根基。已完成农村社会主义民主政治和法治建设政策全覆盖，覆盖率100%，坚决维护国家安全和社会稳定，学习贯彻习近平法治思想，坚持依法治理，让法制观念深入人心，让广大群众成为懂法、知法、敬法、守法的法治公民。已完成民族团结宣传教育工作，完成率100%，推进民族团结创建新成效，以网格为基础，以联户为单元，以农户为落点，常态化开展“民族团结一家亲”联谊活动，强化中华民族共同体意识、“五个认同”宣传教育。本年度已完成重点惠民工程，完成及时率100%，尽心竭力办实事、解民忧，紧紧抓住人民最关心最直接最现实的利益问题，采取更多惠民生、暖民心举措，着力破解群众</w:t>
            </w:r>
            <w:r>
              <w:rPr>
                <w:rFonts w:hint="eastAsia" w:ascii="宋体" w:hAnsi="宋体"/>
                <w:sz w:val="16"/>
                <w:lang w:eastAsia="zh-CN"/>
              </w:rPr>
              <w:t>急难愁盼问题</w:t>
            </w:r>
            <w:r>
              <w:rPr>
                <w:rFonts w:ascii="宋体" w:hAnsi="宋体" w:eastAsia="宋体"/>
                <w:sz w:val="16"/>
              </w:rPr>
              <w:t>，提高人民生活品质。</w:t>
            </w:r>
          </w:p>
        </w:tc>
      </w:tr>
      <w:tr w14:paraId="092E3A0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9C21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534B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ED86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8E9E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C875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4CE7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ACF7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76DD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5F54C">
            <w:pPr>
              <w:jc w:val="center"/>
            </w:pPr>
            <w:r>
              <w:rPr>
                <w:rFonts w:ascii="宋体" w:hAnsi="宋体" w:eastAsia="宋体"/>
                <w:sz w:val="16"/>
              </w:rPr>
              <w:t>得分</w:t>
            </w:r>
          </w:p>
        </w:tc>
      </w:tr>
      <w:tr w14:paraId="72584F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9AC7B8">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6758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6377E">
            <w:pPr>
              <w:jc w:val="center"/>
            </w:pPr>
            <w:r>
              <w:rPr>
                <w:rFonts w:ascii="宋体" w:hAnsi="宋体" w:eastAsia="宋体"/>
                <w:sz w:val="16"/>
              </w:rPr>
              <w:t>推进乡村振兴村级数量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2A0E8">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6DCB0">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1225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07C1B">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57A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E59DB">
            <w:pPr>
              <w:jc w:val="center"/>
            </w:pPr>
            <w:r>
              <w:rPr>
                <w:rFonts w:ascii="宋体" w:hAnsi="宋体" w:eastAsia="宋体"/>
                <w:sz w:val="16"/>
              </w:rPr>
              <w:t>18</w:t>
            </w:r>
          </w:p>
        </w:tc>
      </w:tr>
      <w:tr w14:paraId="048CF0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31D37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9BBC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5FAB0">
            <w:pPr>
              <w:jc w:val="center"/>
            </w:pPr>
            <w:r>
              <w:rPr>
                <w:rFonts w:ascii="宋体" w:hAnsi="宋体" w:eastAsia="宋体"/>
                <w:sz w:val="16"/>
              </w:rPr>
              <w:t>基层党组织建设工作完成率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7A4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617E2">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37F9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088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10F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27A78">
            <w:pPr>
              <w:jc w:val="center"/>
            </w:pPr>
            <w:r>
              <w:rPr>
                <w:rFonts w:ascii="宋体" w:hAnsi="宋体" w:eastAsia="宋体"/>
                <w:sz w:val="16"/>
              </w:rPr>
              <w:t>18</w:t>
            </w:r>
          </w:p>
        </w:tc>
      </w:tr>
      <w:tr w14:paraId="17ACBF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7ECC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91C1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C9FDC">
            <w:pPr>
              <w:jc w:val="center"/>
            </w:pPr>
            <w:r>
              <w:rPr>
                <w:rFonts w:ascii="宋体" w:hAnsi="宋体" w:eastAsia="宋体"/>
                <w:sz w:val="16"/>
              </w:rPr>
              <w:t>民族团结宣传教育覆盖率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D41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DC7B6">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5CA0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AB2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EA4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D8ECB">
            <w:pPr>
              <w:jc w:val="center"/>
            </w:pPr>
            <w:r>
              <w:rPr>
                <w:rFonts w:ascii="宋体" w:hAnsi="宋体" w:eastAsia="宋体"/>
                <w:sz w:val="16"/>
              </w:rPr>
              <w:t>18</w:t>
            </w:r>
          </w:p>
        </w:tc>
      </w:tr>
      <w:tr w14:paraId="6E2D65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4797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4527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6B9C7">
            <w:pPr>
              <w:jc w:val="center"/>
            </w:pPr>
            <w:r>
              <w:rPr>
                <w:rFonts w:ascii="宋体" w:hAnsi="宋体" w:eastAsia="宋体"/>
                <w:sz w:val="16"/>
              </w:rPr>
              <w:t>农村社会主义民主政治和法治建设政策覆盖率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F09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04D81">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469E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FA4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A08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E87BF">
            <w:pPr>
              <w:jc w:val="center"/>
            </w:pPr>
            <w:r>
              <w:rPr>
                <w:rFonts w:ascii="宋体" w:hAnsi="宋体" w:eastAsia="宋体"/>
                <w:sz w:val="16"/>
              </w:rPr>
              <w:t>18</w:t>
            </w:r>
          </w:p>
        </w:tc>
      </w:tr>
      <w:tr w14:paraId="688DD2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0A0F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7DAA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ADDC8">
            <w:pPr>
              <w:jc w:val="center"/>
            </w:pPr>
            <w:r>
              <w:rPr>
                <w:rFonts w:ascii="宋体" w:hAnsi="宋体" w:eastAsia="宋体"/>
                <w:sz w:val="16"/>
              </w:rPr>
              <w:t>重点惠民工程完成及时率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B1F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D5AD4">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E3BE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8A2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A24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EE2EF">
            <w:pPr>
              <w:jc w:val="center"/>
            </w:pPr>
            <w:r>
              <w:rPr>
                <w:rFonts w:ascii="宋体" w:hAnsi="宋体" w:eastAsia="宋体"/>
                <w:sz w:val="16"/>
              </w:rPr>
              <w:t>18</w:t>
            </w:r>
          </w:p>
        </w:tc>
      </w:tr>
    </w:tbl>
    <w:p w14:paraId="712D7D09">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856"/>
        <w:gridCol w:w="624"/>
        <w:gridCol w:w="624"/>
        <w:gridCol w:w="627"/>
        <w:gridCol w:w="624"/>
        <w:gridCol w:w="624"/>
        <w:gridCol w:w="696"/>
        <w:gridCol w:w="632"/>
        <w:gridCol w:w="619"/>
        <w:gridCol w:w="633"/>
      </w:tblGrid>
      <w:tr w14:paraId="170D6D59">
        <w:tblPrEx>
          <w:tblCellMar>
            <w:top w:w="0" w:type="dxa"/>
            <w:left w:w="108" w:type="dxa"/>
            <w:bottom w:w="0" w:type="dxa"/>
            <w:right w:w="108" w:type="dxa"/>
          </w:tblCellMar>
        </w:tblPrEx>
        <w:tc>
          <w:tcPr>
            <w:tcW w:w="8848" w:type="dxa"/>
            <w:gridSpan w:val="14"/>
            <w:vAlign w:val="center"/>
          </w:tcPr>
          <w:p w14:paraId="534EFA1C">
            <w:pPr>
              <w:jc w:val="center"/>
            </w:pPr>
            <w:r>
              <w:rPr>
                <w:rFonts w:ascii="宋体" w:hAnsi="宋体" w:eastAsia="宋体"/>
                <w:sz w:val="24"/>
              </w:rPr>
              <w:t>项目支出绩效自评表</w:t>
            </w:r>
          </w:p>
        </w:tc>
      </w:tr>
      <w:tr w14:paraId="16E7E643">
        <w:tblPrEx>
          <w:tblCellMar>
            <w:top w:w="0" w:type="dxa"/>
            <w:left w:w="108" w:type="dxa"/>
            <w:bottom w:w="0" w:type="dxa"/>
            <w:right w:w="108" w:type="dxa"/>
          </w:tblCellMar>
        </w:tblPrEx>
        <w:tc>
          <w:tcPr>
            <w:tcW w:w="8848" w:type="dxa"/>
            <w:gridSpan w:val="14"/>
            <w:vAlign w:val="center"/>
          </w:tcPr>
          <w:p w14:paraId="6A07A97B">
            <w:pPr>
              <w:jc w:val="center"/>
            </w:pPr>
            <w:r>
              <w:rPr>
                <w:rFonts w:ascii="宋体" w:hAnsi="宋体" w:eastAsia="宋体"/>
                <w:sz w:val="24"/>
              </w:rPr>
              <w:t>(2024年度)</w:t>
            </w:r>
          </w:p>
        </w:tc>
      </w:tr>
      <w:tr w14:paraId="5A8A0E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C3A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CE501C">
            <w:pPr>
              <w:jc w:val="center"/>
            </w:pPr>
            <w:r>
              <w:rPr>
                <w:rFonts w:ascii="宋体" w:hAnsi="宋体" w:eastAsia="宋体"/>
                <w:sz w:val="16"/>
              </w:rPr>
              <w:t>2024年1村6组土地补偿费项目</w:t>
            </w:r>
          </w:p>
        </w:tc>
      </w:tr>
      <w:tr w14:paraId="49C7B3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B4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B7DB42">
            <w:pPr>
              <w:jc w:val="center"/>
            </w:pPr>
            <w:r>
              <w:rPr>
                <w:rFonts w:ascii="宋体" w:hAnsi="宋体" w:eastAsia="宋体"/>
                <w:sz w:val="16"/>
              </w:rPr>
              <w:t>岳普湖县岳普湖镇人民政府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2A3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5A9566">
            <w:pPr>
              <w:jc w:val="center"/>
            </w:pPr>
            <w:r>
              <w:rPr>
                <w:rFonts w:ascii="宋体" w:hAnsi="宋体" w:eastAsia="宋体"/>
                <w:sz w:val="16"/>
              </w:rPr>
              <w:t>岳普湖县岳普湖镇人民政府</w:t>
            </w:r>
          </w:p>
        </w:tc>
      </w:tr>
      <w:tr w14:paraId="7CCFBF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7E82B">
            <w:pPr>
              <w:jc w:val="center"/>
            </w:pPr>
            <w:bookmarkStart w:id="0" w:name="_GoBack" w:colFirst="5" w:colLast="12"/>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A6C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CA4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956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8875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5E0D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5CA3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88AD4">
            <w:pPr>
              <w:jc w:val="center"/>
            </w:pPr>
            <w:r>
              <w:rPr>
                <w:rFonts w:ascii="宋体" w:hAnsi="宋体" w:eastAsia="宋体"/>
                <w:sz w:val="16"/>
              </w:rPr>
              <w:t>得分</w:t>
            </w:r>
          </w:p>
        </w:tc>
      </w:tr>
      <w:tr w14:paraId="4FA269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BE7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471D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EC88D">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97E9D">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79432">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62D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A4DC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55AAF">
            <w:pPr>
              <w:jc w:val="center"/>
            </w:pPr>
            <w:r>
              <w:rPr>
                <w:rFonts w:ascii="宋体" w:hAnsi="宋体" w:eastAsia="宋体"/>
                <w:sz w:val="16"/>
              </w:rPr>
              <w:t>10.00分</w:t>
            </w:r>
          </w:p>
        </w:tc>
      </w:tr>
      <w:tr w14:paraId="76EC9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EE3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57F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597FE">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B4E03">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6368E">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CED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C91D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69AB">
            <w:pPr>
              <w:jc w:val="center"/>
            </w:pPr>
            <w:r>
              <w:rPr>
                <w:rFonts w:ascii="宋体" w:hAnsi="宋体" w:eastAsia="宋体"/>
                <w:sz w:val="16"/>
              </w:rPr>
              <w:t>—</w:t>
            </w:r>
          </w:p>
        </w:tc>
      </w:tr>
      <w:tr w14:paraId="3C8442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C45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519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026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BF7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266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DBE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3153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32F2">
            <w:pPr>
              <w:jc w:val="center"/>
            </w:pPr>
            <w:r>
              <w:rPr>
                <w:rFonts w:ascii="宋体" w:hAnsi="宋体" w:eastAsia="宋体"/>
                <w:sz w:val="16"/>
              </w:rPr>
              <w:t>—</w:t>
            </w:r>
          </w:p>
        </w:tc>
      </w:tr>
      <w:bookmarkEnd w:id="0"/>
      <w:tr w14:paraId="321B2E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C053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00D8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A37D60">
            <w:pPr>
              <w:jc w:val="center"/>
            </w:pPr>
            <w:r>
              <w:rPr>
                <w:rFonts w:ascii="宋体" w:hAnsi="宋体" w:eastAsia="宋体"/>
                <w:sz w:val="16"/>
              </w:rPr>
              <w:t>实际完成情况</w:t>
            </w:r>
          </w:p>
        </w:tc>
      </w:tr>
      <w:tr w14:paraId="417F8F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DE8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7C0F26">
            <w:pPr>
              <w:jc w:val="both"/>
            </w:pPr>
            <w:r>
              <w:rPr>
                <w:rFonts w:ascii="宋体" w:hAnsi="宋体" w:eastAsia="宋体"/>
                <w:sz w:val="16"/>
              </w:rPr>
              <w:t>根据岳普湖县实际情况，按照土地征收协议，承诺每年为土地征收户发放土地补偿费（共需补偿30年），土地补偿费发放户数56户，土地补偿面积205.5亩。通过项目的实施提升业务保障能力和社会服务能力，保障为群众提供政府性公共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7AC99C">
            <w:pPr>
              <w:jc w:val="both"/>
            </w:pPr>
            <w:r>
              <w:rPr>
                <w:rFonts w:ascii="宋体" w:hAnsi="宋体" w:eastAsia="宋体"/>
                <w:sz w:val="16"/>
              </w:rPr>
              <w:t>项目已完成岳普湖镇土地征收户发放土地补偿费本年度支付任务，土地补偿费发放户数56户，土地补偿面积205.5亩。预算执行率100%。通过项目的实施有效提升业务保障能力和社会服务能力，持续保障为群众提供政府性公共服务。项目的受益人员满意度为100%。</w:t>
            </w:r>
          </w:p>
        </w:tc>
      </w:tr>
      <w:tr w14:paraId="2522F1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8C3A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5111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F3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251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D5F3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93A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D2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DF6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3FE1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E08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9D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6D7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93AE0">
            <w:pPr>
              <w:jc w:val="center"/>
            </w:pPr>
            <w:r>
              <w:rPr>
                <w:rFonts w:ascii="宋体" w:hAnsi="宋体" w:eastAsia="宋体"/>
                <w:sz w:val="16"/>
              </w:rPr>
              <w:t>偏差原因分析及改进措施</w:t>
            </w:r>
          </w:p>
        </w:tc>
      </w:tr>
      <w:tr w14:paraId="58D10F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40E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9075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A50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7A4F">
            <w:pPr>
              <w:jc w:val="center"/>
            </w:pPr>
            <w:r>
              <w:rPr>
                <w:rFonts w:ascii="宋体" w:hAnsi="宋体" w:eastAsia="宋体"/>
                <w:sz w:val="16"/>
              </w:rPr>
              <w:t>土地补偿费发放户数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9F500">
            <w:pPr>
              <w:jc w:val="center"/>
            </w:pPr>
            <w:r>
              <w:rPr>
                <w:rFonts w:ascii="宋体" w:hAnsi="宋体" w:eastAsia="宋体"/>
                <w:sz w:val="16"/>
              </w:rPr>
              <w:t>&gt;=56户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E5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575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8CD7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CA1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4E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B4DDC">
            <w:pPr>
              <w:jc w:val="center"/>
            </w:pPr>
            <w:r>
              <w:rPr>
                <w:rFonts w:ascii="宋体" w:hAnsi="宋体" w:eastAsia="宋体"/>
                <w:sz w:val="16"/>
              </w:rPr>
              <w:t>=56户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83A1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DA86F">
            <w:pPr>
              <w:jc w:val="center"/>
            </w:pPr>
          </w:p>
        </w:tc>
      </w:tr>
      <w:tr w14:paraId="5DDFE8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211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2F7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ACA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41C3">
            <w:pPr>
              <w:jc w:val="center"/>
            </w:pPr>
            <w:r>
              <w:rPr>
                <w:rFonts w:ascii="宋体" w:hAnsi="宋体" w:eastAsia="宋体"/>
                <w:sz w:val="16"/>
              </w:rPr>
              <w:t>土地补偿总面积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81DC">
            <w:pPr>
              <w:jc w:val="center"/>
            </w:pPr>
            <w:r>
              <w:rPr>
                <w:rFonts w:ascii="宋体" w:hAnsi="宋体" w:eastAsia="宋体"/>
                <w:sz w:val="16"/>
              </w:rPr>
              <w:t>&gt;=205.50亩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C7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D9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1312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0BE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66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BA017">
            <w:pPr>
              <w:jc w:val="center"/>
            </w:pPr>
            <w:r>
              <w:rPr>
                <w:rFonts w:ascii="宋体" w:hAnsi="宋体" w:eastAsia="宋体"/>
                <w:sz w:val="16"/>
              </w:rPr>
              <w:t>=205.5亩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0610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39F40">
            <w:pPr>
              <w:jc w:val="center"/>
            </w:pPr>
          </w:p>
        </w:tc>
      </w:tr>
      <w:tr w14:paraId="76A59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466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703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1BC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6F764">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C6D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04F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0E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92C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52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AC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19D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413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94D16">
            <w:pPr>
              <w:jc w:val="center"/>
            </w:pPr>
          </w:p>
        </w:tc>
      </w:tr>
      <w:tr w14:paraId="769161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D58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D3A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0E6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C82D0">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34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EBF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5C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B0DA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D40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062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F7F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B5A7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5F031">
            <w:pPr>
              <w:jc w:val="center"/>
            </w:pPr>
          </w:p>
        </w:tc>
      </w:tr>
      <w:tr w14:paraId="49E61F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C5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299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00F1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1ED88">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14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B67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44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E9A3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90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B3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00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A317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C8766">
            <w:pPr>
              <w:jc w:val="center"/>
            </w:pPr>
          </w:p>
        </w:tc>
      </w:tr>
      <w:tr w14:paraId="508BBF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6AB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B5D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9E8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1857">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B1331">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DD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A3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49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46B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C7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BD5B0">
            <w:pPr>
              <w:jc w:val="center"/>
            </w:pPr>
            <w:r>
              <w:rPr>
                <w:rFonts w:ascii="宋体" w:hAnsi="宋体" w:eastAsia="宋体"/>
                <w:sz w:val="16"/>
              </w:rPr>
              <w:t>=2024年5月10日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B24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28C5C">
            <w:pPr>
              <w:jc w:val="center"/>
            </w:pPr>
          </w:p>
        </w:tc>
      </w:tr>
      <w:tr w14:paraId="1B1562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C60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395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599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AD950">
            <w:pPr>
              <w:jc w:val="center"/>
            </w:pPr>
            <w:r>
              <w:rPr>
                <w:rFonts w:ascii="宋体" w:hAnsi="宋体" w:eastAsia="宋体"/>
                <w:sz w:val="16"/>
              </w:rPr>
              <w:t>土地补偿单位预算控制数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1CB14">
            <w:pPr>
              <w:jc w:val="center"/>
            </w:pPr>
            <w:r>
              <w:rPr>
                <w:rFonts w:ascii="宋体" w:hAnsi="宋体" w:eastAsia="宋体"/>
                <w:sz w:val="16"/>
              </w:rPr>
              <w:t>&lt;=500元/亩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F0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7AA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729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DAA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613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BF0B">
            <w:pPr>
              <w:jc w:val="center"/>
            </w:pPr>
            <w:r>
              <w:rPr>
                <w:rFonts w:ascii="宋体" w:hAnsi="宋体" w:eastAsia="宋体"/>
                <w:sz w:val="16"/>
              </w:rPr>
              <w:t>=500元/亩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EC9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325CC">
            <w:pPr>
              <w:jc w:val="center"/>
            </w:pPr>
          </w:p>
        </w:tc>
      </w:tr>
      <w:tr w14:paraId="166E3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29A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9F96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96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D4E4">
            <w:pPr>
              <w:jc w:val="center"/>
            </w:pPr>
            <w:r>
              <w:rPr>
                <w:rFonts w:ascii="宋体" w:hAnsi="宋体" w:eastAsia="宋体"/>
                <w:sz w:val="16"/>
              </w:rPr>
              <w:t>提升业务保障能力和社会服务能力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7B8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C93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46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97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FC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17D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5E8F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962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B69FF">
            <w:pPr>
              <w:jc w:val="center"/>
            </w:pPr>
          </w:p>
        </w:tc>
      </w:tr>
      <w:tr w14:paraId="2F6BCC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276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DD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12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23E6A">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637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1D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754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CF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AE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88B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AD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379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8465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3A311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F970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2AA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E585F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15B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C19611"/>
        </w:tc>
      </w:tr>
    </w:tbl>
    <w:p w14:paraId="4900DD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36A3595">
        <w:tblPrEx>
          <w:tblCellMar>
            <w:top w:w="0" w:type="dxa"/>
            <w:left w:w="108" w:type="dxa"/>
            <w:bottom w:w="0" w:type="dxa"/>
            <w:right w:w="108" w:type="dxa"/>
          </w:tblCellMar>
        </w:tblPrEx>
        <w:tc>
          <w:tcPr>
            <w:tcW w:w="8848" w:type="dxa"/>
            <w:gridSpan w:val="14"/>
            <w:vAlign w:val="center"/>
          </w:tcPr>
          <w:p w14:paraId="31387144">
            <w:pPr>
              <w:jc w:val="center"/>
            </w:pPr>
            <w:r>
              <w:rPr>
                <w:rFonts w:ascii="宋体" w:hAnsi="宋体" w:eastAsia="宋体"/>
                <w:sz w:val="24"/>
              </w:rPr>
              <w:t>项目支出绩效自评表</w:t>
            </w:r>
          </w:p>
        </w:tc>
      </w:tr>
      <w:tr w14:paraId="6786B93F">
        <w:tblPrEx>
          <w:tblCellMar>
            <w:top w:w="0" w:type="dxa"/>
            <w:left w:w="108" w:type="dxa"/>
            <w:bottom w:w="0" w:type="dxa"/>
            <w:right w:w="108" w:type="dxa"/>
          </w:tblCellMar>
        </w:tblPrEx>
        <w:tc>
          <w:tcPr>
            <w:tcW w:w="8848" w:type="dxa"/>
            <w:gridSpan w:val="14"/>
            <w:vAlign w:val="center"/>
          </w:tcPr>
          <w:p w14:paraId="6D52C580">
            <w:pPr>
              <w:jc w:val="center"/>
            </w:pPr>
            <w:r>
              <w:rPr>
                <w:rFonts w:ascii="宋体" w:hAnsi="宋体" w:eastAsia="宋体"/>
                <w:sz w:val="24"/>
              </w:rPr>
              <w:t>(2024年度)</w:t>
            </w:r>
          </w:p>
        </w:tc>
      </w:tr>
      <w:tr w14:paraId="568193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61E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210BA2">
            <w:pPr>
              <w:jc w:val="center"/>
            </w:pPr>
            <w:r>
              <w:rPr>
                <w:rFonts w:ascii="宋体" w:hAnsi="宋体" w:eastAsia="宋体"/>
                <w:sz w:val="16"/>
              </w:rPr>
              <w:t>2024年乡镇工作经费项目</w:t>
            </w:r>
          </w:p>
        </w:tc>
      </w:tr>
      <w:tr w14:paraId="6678A8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8E8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3D9CA2">
            <w:pPr>
              <w:jc w:val="center"/>
            </w:pPr>
            <w:r>
              <w:rPr>
                <w:rFonts w:ascii="宋体" w:hAnsi="宋体" w:eastAsia="宋体"/>
                <w:sz w:val="16"/>
              </w:rPr>
              <w:t>岳普湖县岳普湖镇人民政府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B4D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154812">
            <w:pPr>
              <w:jc w:val="center"/>
            </w:pPr>
            <w:r>
              <w:rPr>
                <w:rFonts w:ascii="宋体" w:hAnsi="宋体" w:eastAsia="宋体"/>
                <w:sz w:val="16"/>
              </w:rPr>
              <w:t>岳普湖县岳普湖镇人民政府</w:t>
            </w:r>
          </w:p>
        </w:tc>
      </w:tr>
      <w:tr w14:paraId="56AC6B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6C04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A2D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B47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43E7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D86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6388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04E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A714">
            <w:pPr>
              <w:jc w:val="center"/>
            </w:pPr>
            <w:r>
              <w:rPr>
                <w:rFonts w:ascii="宋体" w:hAnsi="宋体" w:eastAsia="宋体"/>
                <w:sz w:val="16"/>
              </w:rPr>
              <w:t>得分</w:t>
            </w:r>
          </w:p>
        </w:tc>
      </w:tr>
      <w:tr w14:paraId="52E232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CD7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40D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9D0C3">
            <w:pPr>
              <w:jc w:val="center"/>
            </w:pPr>
            <w:r>
              <w:rPr>
                <w:rFonts w:ascii="宋体" w:hAnsi="宋体" w:eastAsia="宋体"/>
                <w:sz w:val="16"/>
              </w:rPr>
              <w:t>16.60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88237">
            <w:pPr>
              <w:jc w:val="center"/>
            </w:pPr>
            <w:r>
              <w:rPr>
                <w:rFonts w:ascii="宋体" w:hAnsi="宋体" w:eastAsia="宋体"/>
                <w:sz w:val="16"/>
              </w:rPr>
              <w:t>43.84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BBBBA">
            <w:pPr>
              <w:jc w:val="center"/>
            </w:pPr>
            <w:r>
              <w:rPr>
                <w:rFonts w:ascii="宋体" w:hAnsi="宋体" w:eastAsia="宋体"/>
                <w:sz w:val="16"/>
              </w:rPr>
              <w:t>43.84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140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2CB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1222">
            <w:pPr>
              <w:jc w:val="center"/>
            </w:pPr>
            <w:r>
              <w:rPr>
                <w:rFonts w:ascii="宋体" w:hAnsi="宋体" w:eastAsia="宋体"/>
                <w:sz w:val="16"/>
              </w:rPr>
              <w:t>10.00分</w:t>
            </w:r>
          </w:p>
        </w:tc>
      </w:tr>
      <w:tr w14:paraId="5F9F43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01D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327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90808">
            <w:pPr>
              <w:jc w:val="center"/>
            </w:pPr>
            <w:r>
              <w:rPr>
                <w:rFonts w:ascii="宋体" w:hAnsi="宋体" w:eastAsia="宋体"/>
                <w:sz w:val="16"/>
              </w:rPr>
              <w:t>16.60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E22E9">
            <w:pPr>
              <w:jc w:val="center"/>
            </w:pPr>
            <w:r>
              <w:rPr>
                <w:rFonts w:ascii="宋体" w:hAnsi="宋体" w:eastAsia="宋体"/>
                <w:sz w:val="16"/>
              </w:rPr>
              <w:t>43.84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5CE95">
            <w:pPr>
              <w:jc w:val="center"/>
            </w:pPr>
            <w:r>
              <w:rPr>
                <w:rFonts w:ascii="宋体" w:hAnsi="宋体" w:eastAsia="宋体"/>
                <w:sz w:val="16"/>
              </w:rPr>
              <w:t>43.84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D88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7BB9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8F53">
            <w:pPr>
              <w:jc w:val="center"/>
            </w:pPr>
            <w:r>
              <w:rPr>
                <w:rFonts w:ascii="宋体" w:hAnsi="宋体" w:eastAsia="宋体"/>
                <w:sz w:val="16"/>
              </w:rPr>
              <w:t>—</w:t>
            </w:r>
          </w:p>
        </w:tc>
      </w:tr>
      <w:tr w14:paraId="286DE0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5CD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25E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65F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983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6E8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83F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8D25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4A393">
            <w:pPr>
              <w:jc w:val="center"/>
            </w:pPr>
            <w:r>
              <w:rPr>
                <w:rFonts w:ascii="宋体" w:hAnsi="宋体" w:eastAsia="宋体"/>
                <w:sz w:val="16"/>
              </w:rPr>
              <w:t>—</w:t>
            </w:r>
          </w:p>
        </w:tc>
      </w:tr>
      <w:tr w14:paraId="5FA9CE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A2A1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231CD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808B77">
            <w:pPr>
              <w:jc w:val="center"/>
            </w:pPr>
            <w:r>
              <w:rPr>
                <w:rFonts w:ascii="宋体" w:hAnsi="宋体" w:eastAsia="宋体"/>
                <w:sz w:val="16"/>
              </w:rPr>
              <w:t>实际完成情况</w:t>
            </w:r>
          </w:p>
        </w:tc>
      </w:tr>
      <w:tr w14:paraId="2DADE4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9BD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143725">
            <w:pPr>
              <w:jc w:val="both"/>
            </w:pPr>
            <w:r>
              <w:rPr>
                <w:rFonts w:ascii="宋体" w:hAnsi="宋体" w:eastAsia="宋体"/>
                <w:sz w:val="16"/>
              </w:rPr>
              <w:t>根据岳普湖县实际情况，为确保岳普湖县岳普湖镇人民政府各项工作有序进行，贯彻落实好县委、县政府各项工作部署要求，为岳普湖镇人民政府提供经费保障，经费保障单位数量1个。通过项目的实施提升社会公众服务能力，保障单位日常工作顺利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F00C6F">
            <w:pPr>
              <w:jc w:val="both"/>
            </w:pPr>
            <w:r>
              <w:rPr>
                <w:rFonts w:ascii="宋体" w:hAnsi="宋体" w:eastAsia="宋体"/>
                <w:sz w:val="16"/>
              </w:rPr>
              <w:t>项目已完成岳普湖镇人民政府经费保障任务，经费保障单位数量1个。预算执行率100%。通过项目的实施有效提升社会公众服务能力，有效保障单位日常工作顺利实施。</w:t>
            </w:r>
          </w:p>
        </w:tc>
      </w:tr>
      <w:tr w14:paraId="02B919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F79B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80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52E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B2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330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939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CCF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633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D8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12C1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05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961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3A86D">
            <w:pPr>
              <w:jc w:val="center"/>
            </w:pPr>
            <w:r>
              <w:rPr>
                <w:rFonts w:ascii="宋体" w:hAnsi="宋体" w:eastAsia="宋体"/>
                <w:sz w:val="16"/>
              </w:rPr>
              <w:t>偏差原因分析及改进措施</w:t>
            </w:r>
          </w:p>
        </w:tc>
      </w:tr>
      <w:tr w14:paraId="348AC0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F1F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CE81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D371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C097D">
            <w:pPr>
              <w:jc w:val="center"/>
            </w:pPr>
            <w:r>
              <w:rPr>
                <w:rFonts w:ascii="宋体" w:hAnsi="宋体" w:eastAsia="宋体"/>
                <w:sz w:val="16"/>
              </w:rPr>
              <w:t>项目经费保障单位数量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F5165">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32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562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4C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D7F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C08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DB0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387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5C9A1">
            <w:pPr>
              <w:jc w:val="center"/>
            </w:pPr>
          </w:p>
        </w:tc>
      </w:tr>
      <w:tr w14:paraId="4771B8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226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5B3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8D52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A4CFB">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BF1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1F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E48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5D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F96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36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6F8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73A6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1D5D6">
            <w:pPr>
              <w:jc w:val="center"/>
            </w:pPr>
          </w:p>
        </w:tc>
      </w:tr>
      <w:tr w14:paraId="4B14EB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E24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B2F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18D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C441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00D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67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C1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D8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71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1AE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3C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59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32068">
            <w:pPr>
              <w:jc w:val="center"/>
            </w:pPr>
          </w:p>
        </w:tc>
      </w:tr>
      <w:tr w14:paraId="5BA8C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5BF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213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BCE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31422">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6A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66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23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53C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5DC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5C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02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D1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9744D">
            <w:pPr>
              <w:jc w:val="center"/>
            </w:pPr>
          </w:p>
        </w:tc>
      </w:tr>
      <w:tr w14:paraId="3526E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FC6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B86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DDB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F6FC">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6EA9">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33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2FB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63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94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B2E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F7E5A">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DEB5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94F30">
            <w:pPr>
              <w:jc w:val="center"/>
            </w:pPr>
          </w:p>
        </w:tc>
      </w:tr>
      <w:tr w14:paraId="7F3105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5A3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5331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7E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C066">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1FD8">
            <w:pPr>
              <w:jc w:val="center"/>
            </w:pPr>
            <w:r>
              <w:rPr>
                <w:rFonts w:ascii="宋体" w:hAnsi="宋体" w:eastAsia="宋体"/>
                <w:sz w:val="16"/>
              </w:rPr>
              <w:t>&lt;=43.84万元/个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B6A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1A10C">
            <w:pPr>
              <w:jc w:val="center"/>
            </w:pPr>
            <w:r>
              <w:rPr>
                <w:rFonts w:ascii="宋体" w:hAnsi="宋体" w:eastAsia="宋体"/>
                <w:sz w:val="16"/>
              </w:rPr>
              <w:t>40万元/个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43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ABA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3AF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6E20">
            <w:pPr>
              <w:jc w:val="center"/>
            </w:pPr>
            <w:r>
              <w:rPr>
                <w:rFonts w:ascii="宋体" w:hAnsi="宋体" w:eastAsia="宋体"/>
                <w:sz w:val="16"/>
              </w:rPr>
              <w:t>=43.84万元/个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7F9C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95283">
            <w:pPr>
              <w:jc w:val="center"/>
            </w:pPr>
          </w:p>
        </w:tc>
      </w:tr>
      <w:tr w14:paraId="716B68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078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707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3029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9BAE5">
            <w:pPr>
              <w:jc w:val="center"/>
            </w:pPr>
            <w:r>
              <w:rPr>
                <w:rFonts w:ascii="宋体" w:hAnsi="宋体" w:eastAsia="宋体"/>
                <w:sz w:val="16"/>
              </w:rPr>
              <w:t>保障单位日常工作顺利实施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4CB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B4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977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3A82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3F7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2B8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B56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ABD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42985">
            <w:pPr>
              <w:jc w:val="center"/>
            </w:pPr>
          </w:p>
        </w:tc>
      </w:tr>
      <w:tr w14:paraId="70F9DFA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4E0C2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601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734F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165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0B4373"/>
        </w:tc>
      </w:tr>
    </w:tbl>
    <w:p w14:paraId="4E8A6A07">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15"/>
        <w:gridCol w:w="776"/>
        <w:gridCol w:w="632"/>
        <w:gridCol w:w="601"/>
        <w:gridCol w:w="632"/>
      </w:tblGrid>
      <w:tr w14:paraId="0093EFB0">
        <w:tblPrEx>
          <w:tblCellMar>
            <w:top w:w="0" w:type="dxa"/>
            <w:left w:w="108" w:type="dxa"/>
            <w:bottom w:w="0" w:type="dxa"/>
            <w:right w:w="108" w:type="dxa"/>
          </w:tblCellMar>
        </w:tblPrEx>
        <w:tc>
          <w:tcPr>
            <w:tcW w:w="8848" w:type="dxa"/>
            <w:gridSpan w:val="14"/>
            <w:vAlign w:val="center"/>
          </w:tcPr>
          <w:p w14:paraId="38F3F6E8">
            <w:pPr>
              <w:jc w:val="center"/>
            </w:pPr>
            <w:r>
              <w:rPr>
                <w:rFonts w:ascii="宋体" w:hAnsi="宋体" w:eastAsia="宋体"/>
                <w:sz w:val="24"/>
              </w:rPr>
              <w:t>项目支出绩效自评表</w:t>
            </w:r>
          </w:p>
        </w:tc>
      </w:tr>
      <w:tr w14:paraId="5279CC85">
        <w:tblPrEx>
          <w:tblCellMar>
            <w:top w:w="0" w:type="dxa"/>
            <w:left w:w="108" w:type="dxa"/>
            <w:bottom w:w="0" w:type="dxa"/>
            <w:right w:w="108" w:type="dxa"/>
          </w:tblCellMar>
        </w:tblPrEx>
        <w:tc>
          <w:tcPr>
            <w:tcW w:w="8848" w:type="dxa"/>
            <w:gridSpan w:val="14"/>
            <w:vAlign w:val="center"/>
          </w:tcPr>
          <w:p w14:paraId="5E7EF463">
            <w:pPr>
              <w:jc w:val="center"/>
            </w:pPr>
            <w:r>
              <w:rPr>
                <w:rFonts w:ascii="宋体" w:hAnsi="宋体" w:eastAsia="宋体"/>
                <w:sz w:val="24"/>
              </w:rPr>
              <w:t>(2024年度)</w:t>
            </w:r>
          </w:p>
        </w:tc>
      </w:tr>
      <w:tr w14:paraId="2583AC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297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C10D0E">
            <w:pPr>
              <w:jc w:val="center"/>
            </w:pPr>
            <w:r>
              <w:rPr>
                <w:rFonts w:ascii="宋体" w:hAnsi="宋体" w:eastAsia="宋体"/>
                <w:sz w:val="16"/>
              </w:rPr>
              <w:t>G219线国道建设土地补偿款项目</w:t>
            </w:r>
          </w:p>
        </w:tc>
      </w:tr>
      <w:tr w14:paraId="13617A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05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C47DD">
            <w:pPr>
              <w:jc w:val="center"/>
            </w:pPr>
            <w:r>
              <w:rPr>
                <w:rFonts w:ascii="宋体" w:hAnsi="宋体" w:eastAsia="宋体"/>
                <w:sz w:val="16"/>
              </w:rPr>
              <w:t>岳普湖县岳普湖镇人民政府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F08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DB26B7">
            <w:pPr>
              <w:jc w:val="center"/>
            </w:pPr>
            <w:r>
              <w:rPr>
                <w:rFonts w:ascii="宋体" w:hAnsi="宋体" w:eastAsia="宋体"/>
                <w:sz w:val="16"/>
              </w:rPr>
              <w:t>岳普湖县岳普湖镇人民政府</w:t>
            </w:r>
          </w:p>
        </w:tc>
      </w:tr>
      <w:tr w14:paraId="3CBEA6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A9F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D7CB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A137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75E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A4C4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645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6F6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A946">
            <w:pPr>
              <w:jc w:val="center"/>
            </w:pPr>
            <w:r>
              <w:rPr>
                <w:rFonts w:ascii="宋体" w:hAnsi="宋体" w:eastAsia="宋体"/>
                <w:sz w:val="16"/>
              </w:rPr>
              <w:t>得分</w:t>
            </w:r>
          </w:p>
        </w:tc>
      </w:tr>
      <w:tr w14:paraId="66603E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323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0970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EFE41">
            <w:pPr>
              <w:jc w:val="center"/>
            </w:pPr>
            <w:r>
              <w:rPr>
                <w:rFonts w:ascii="宋体" w:hAnsi="宋体" w:eastAsia="宋体"/>
                <w:sz w:val="16"/>
              </w:rPr>
              <w:t>136.21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04D17">
            <w:pPr>
              <w:jc w:val="center"/>
            </w:pPr>
            <w:r>
              <w:rPr>
                <w:rFonts w:ascii="宋体" w:hAnsi="宋体" w:eastAsia="宋体"/>
                <w:sz w:val="16"/>
              </w:rPr>
              <w:t>136.21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23CB7">
            <w:pPr>
              <w:jc w:val="center"/>
            </w:pPr>
            <w:r>
              <w:rPr>
                <w:rFonts w:ascii="宋体" w:hAnsi="宋体" w:eastAsia="宋体"/>
                <w:sz w:val="16"/>
              </w:rPr>
              <w:t>136.21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395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DBD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0F9EA">
            <w:pPr>
              <w:jc w:val="center"/>
            </w:pPr>
            <w:r>
              <w:rPr>
                <w:rFonts w:ascii="宋体" w:hAnsi="宋体" w:eastAsia="宋体"/>
                <w:sz w:val="16"/>
              </w:rPr>
              <w:t>10.00分</w:t>
            </w:r>
          </w:p>
        </w:tc>
      </w:tr>
      <w:tr w14:paraId="69D3AB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F0A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8EA1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65D1E">
            <w:pPr>
              <w:jc w:val="center"/>
            </w:pPr>
            <w:r>
              <w:rPr>
                <w:rFonts w:ascii="宋体" w:hAnsi="宋体" w:eastAsia="宋体"/>
                <w:sz w:val="16"/>
              </w:rPr>
              <w:t>136.21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40B49">
            <w:pPr>
              <w:jc w:val="center"/>
            </w:pPr>
            <w:r>
              <w:rPr>
                <w:rFonts w:ascii="宋体" w:hAnsi="宋体" w:eastAsia="宋体"/>
                <w:sz w:val="16"/>
              </w:rPr>
              <w:t>136.21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D434F">
            <w:pPr>
              <w:jc w:val="center"/>
            </w:pPr>
            <w:r>
              <w:rPr>
                <w:rFonts w:ascii="宋体" w:hAnsi="宋体" w:eastAsia="宋体"/>
                <w:sz w:val="16"/>
              </w:rPr>
              <w:t>136.21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B24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EF01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9409">
            <w:pPr>
              <w:jc w:val="center"/>
            </w:pPr>
            <w:r>
              <w:rPr>
                <w:rFonts w:ascii="宋体" w:hAnsi="宋体" w:eastAsia="宋体"/>
                <w:sz w:val="16"/>
              </w:rPr>
              <w:t>—</w:t>
            </w:r>
          </w:p>
        </w:tc>
      </w:tr>
      <w:tr w14:paraId="6A087D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8FD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F48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F10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A46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C5C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821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BA08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B1FE">
            <w:pPr>
              <w:jc w:val="center"/>
            </w:pPr>
            <w:r>
              <w:rPr>
                <w:rFonts w:ascii="宋体" w:hAnsi="宋体" w:eastAsia="宋体"/>
                <w:sz w:val="16"/>
              </w:rPr>
              <w:t>—</w:t>
            </w:r>
          </w:p>
        </w:tc>
      </w:tr>
      <w:tr w14:paraId="21DE23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ED44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452E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3E9EA8">
            <w:pPr>
              <w:jc w:val="center"/>
            </w:pPr>
            <w:r>
              <w:rPr>
                <w:rFonts w:ascii="宋体" w:hAnsi="宋体" w:eastAsia="宋体"/>
                <w:sz w:val="16"/>
              </w:rPr>
              <w:t>实际完成情况</w:t>
            </w:r>
          </w:p>
        </w:tc>
      </w:tr>
      <w:tr w14:paraId="3FAD62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A7F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0F457A">
            <w:pPr>
              <w:jc w:val="both"/>
            </w:pPr>
            <w:r>
              <w:rPr>
                <w:rFonts w:ascii="宋体" w:hAnsi="宋体" w:eastAsia="宋体"/>
                <w:sz w:val="16"/>
              </w:rPr>
              <w:t>根据岳普湖县实际情况，为坚守土地公有制性质不改变、耕地红线不突破、农民利益不受损三条底线，按照土地征收费用按原自治区人民政府公布的征地区片综合地价执行，土地补偿费发放人数67人（其中：加格达村61人，艾吾再力库木村6人）。通过项目的实施提升业务保障能力和社会服务能力，保障为群众提供政府性公共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BF595C">
            <w:pPr>
              <w:jc w:val="both"/>
            </w:pPr>
            <w:r>
              <w:rPr>
                <w:rFonts w:ascii="宋体" w:hAnsi="宋体" w:eastAsia="宋体"/>
                <w:sz w:val="16"/>
              </w:rPr>
              <w:t>项目已完成岳普湖镇加格达村、艾吾再力库木村土地补偿费发放任务。土地补偿费发放人数67人（其中：加格达村61人，艾吾再力库木村6人）。预算执行率100%。通过项目的实施有效提升业务保障能力和社会服务能力，保障为群众提供政府性公共服务。项目的受益人员满意度为100%。</w:t>
            </w:r>
          </w:p>
        </w:tc>
      </w:tr>
      <w:tr w14:paraId="2ABE98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0660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EC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A7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DAB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80F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7CCE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371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E42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ED4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D5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981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3937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54AFB">
            <w:pPr>
              <w:jc w:val="center"/>
            </w:pPr>
            <w:r>
              <w:rPr>
                <w:rFonts w:ascii="宋体" w:hAnsi="宋体" w:eastAsia="宋体"/>
                <w:sz w:val="16"/>
              </w:rPr>
              <w:t>偏差原因分析及改进措施</w:t>
            </w:r>
          </w:p>
        </w:tc>
      </w:tr>
      <w:tr w14:paraId="5927B8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47D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4D75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4146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6BC0">
            <w:pPr>
              <w:jc w:val="center"/>
            </w:pPr>
            <w:r>
              <w:rPr>
                <w:rFonts w:ascii="宋体" w:hAnsi="宋体" w:eastAsia="宋体"/>
                <w:sz w:val="16"/>
              </w:rPr>
              <w:t>土地补偿费发放人数（加格达村）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8165">
            <w:pPr>
              <w:jc w:val="center"/>
            </w:pPr>
            <w:r>
              <w:rPr>
                <w:rFonts w:ascii="宋体" w:hAnsi="宋体" w:eastAsia="宋体"/>
                <w:sz w:val="16"/>
              </w:rPr>
              <w:t>&gt;=61人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319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4B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E6C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806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716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D1AC">
            <w:pPr>
              <w:jc w:val="center"/>
            </w:pPr>
            <w:r>
              <w:rPr>
                <w:rFonts w:ascii="宋体" w:hAnsi="宋体" w:eastAsia="宋体"/>
                <w:sz w:val="16"/>
              </w:rPr>
              <w:t>=61人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0E80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7A6BF">
            <w:pPr>
              <w:jc w:val="center"/>
            </w:pPr>
          </w:p>
        </w:tc>
      </w:tr>
      <w:tr w14:paraId="1D3B98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DAB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59B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ADC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06F9">
            <w:pPr>
              <w:jc w:val="center"/>
            </w:pPr>
            <w:r>
              <w:rPr>
                <w:rFonts w:ascii="宋体" w:hAnsi="宋体" w:eastAsia="宋体"/>
                <w:sz w:val="16"/>
              </w:rPr>
              <w:t>土地补偿费发放人数（艾吾再力库木村）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E4A2">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00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F9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692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CF3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71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D944">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25A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AB520">
            <w:pPr>
              <w:jc w:val="center"/>
            </w:pPr>
          </w:p>
        </w:tc>
      </w:tr>
      <w:tr w14:paraId="419F8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752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E38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DE1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FE9E">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AF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506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9BC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246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AA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BD8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F66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F010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A5563">
            <w:pPr>
              <w:jc w:val="center"/>
            </w:pPr>
          </w:p>
        </w:tc>
      </w:tr>
      <w:tr w14:paraId="67DFCE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240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0DD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ECD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8541D">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2C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86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B64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E52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70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EB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1FB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4DB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8DE64">
            <w:pPr>
              <w:jc w:val="center"/>
            </w:pPr>
          </w:p>
        </w:tc>
      </w:tr>
      <w:tr w14:paraId="6EB8B0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E2D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350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B5E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6B82">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E4C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82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76D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9FB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FAA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EB8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7E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5ED3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AA6B0">
            <w:pPr>
              <w:jc w:val="center"/>
            </w:pPr>
          </w:p>
        </w:tc>
      </w:tr>
      <w:tr w14:paraId="24969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9F5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FAE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065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FBE9B">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297D1">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A92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40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6B3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AA8E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70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FB7A">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BD61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3FAC2">
            <w:pPr>
              <w:jc w:val="center"/>
            </w:pPr>
          </w:p>
        </w:tc>
      </w:tr>
      <w:tr w14:paraId="7B0F5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FFB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8698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C630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7EED">
            <w:pPr>
              <w:jc w:val="center"/>
            </w:pPr>
            <w:r>
              <w:rPr>
                <w:rFonts w:ascii="宋体" w:hAnsi="宋体" w:eastAsia="宋体"/>
                <w:sz w:val="16"/>
              </w:rPr>
              <w:t>土地补偿人均单位预算控制数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ACAF5">
            <w:pPr>
              <w:jc w:val="center"/>
            </w:pPr>
            <w:r>
              <w:rPr>
                <w:rFonts w:ascii="宋体" w:hAnsi="宋体" w:eastAsia="宋体"/>
                <w:sz w:val="16"/>
              </w:rPr>
              <w:t>&lt;=2.0346万元/人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56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E9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656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D6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23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CA2DF">
            <w:pPr>
              <w:jc w:val="center"/>
            </w:pPr>
            <w:r>
              <w:rPr>
                <w:rFonts w:ascii="宋体" w:hAnsi="宋体" w:eastAsia="宋体"/>
                <w:sz w:val="16"/>
              </w:rPr>
              <w:t>=2.0346万元/人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6AE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AA1F2">
            <w:pPr>
              <w:jc w:val="center"/>
            </w:pPr>
          </w:p>
        </w:tc>
      </w:tr>
      <w:tr w14:paraId="1338B6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D3D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0B53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BC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0E239">
            <w:pPr>
              <w:jc w:val="center"/>
            </w:pPr>
            <w:r>
              <w:rPr>
                <w:rFonts w:ascii="宋体" w:hAnsi="宋体" w:eastAsia="宋体"/>
                <w:sz w:val="16"/>
              </w:rPr>
              <w:t>提升业务保障能力和社会服务能力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122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61B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52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62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211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98A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B01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69D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6CC5A">
            <w:pPr>
              <w:jc w:val="center"/>
            </w:pPr>
          </w:p>
        </w:tc>
      </w:tr>
      <w:tr w14:paraId="48CF61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794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62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2EB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6389B">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D81D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F78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5B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98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DD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8B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DB9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56D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5CB2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732A3D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B13F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0C4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B01C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000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15809E"/>
        </w:tc>
      </w:tr>
    </w:tbl>
    <w:p w14:paraId="2C2956A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02AB200">
        <w:tblPrEx>
          <w:tblCellMar>
            <w:top w:w="0" w:type="dxa"/>
            <w:left w:w="108" w:type="dxa"/>
            <w:bottom w:w="0" w:type="dxa"/>
            <w:right w:w="108" w:type="dxa"/>
          </w:tblCellMar>
        </w:tblPrEx>
        <w:tc>
          <w:tcPr>
            <w:tcW w:w="8848" w:type="dxa"/>
            <w:gridSpan w:val="14"/>
            <w:vAlign w:val="center"/>
          </w:tcPr>
          <w:p w14:paraId="7C18A3F9">
            <w:pPr>
              <w:jc w:val="center"/>
            </w:pPr>
            <w:r>
              <w:rPr>
                <w:rFonts w:ascii="宋体" w:hAnsi="宋体" w:eastAsia="宋体"/>
                <w:sz w:val="24"/>
              </w:rPr>
              <w:t>项目支出绩效自评表</w:t>
            </w:r>
          </w:p>
        </w:tc>
      </w:tr>
      <w:tr w14:paraId="52C116B8">
        <w:tblPrEx>
          <w:tblCellMar>
            <w:top w:w="0" w:type="dxa"/>
            <w:left w:w="108" w:type="dxa"/>
            <w:bottom w:w="0" w:type="dxa"/>
            <w:right w:w="108" w:type="dxa"/>
          </w:tblCellMar>
        </w:tblPrEx>
        <w:tc>
          <w:tcPr>
            <w:tcW w:w="8848" w:type="dxa"/>
            <w:gridSpan w:val="14"/>
            <w:vAlign w:val="center"/>
          </w:tcPr>
          <w:p w14:paraId="0F5CA543">
            <w:pPr>
              <w:jc w:val="center"/>
            </w:pPr>
            <w:r>
              <w:rPr>
                <w:rFonts w:ascii="宋体" w:hAnsi="宋体" w:eastAsia="宋体"/>
                <w:sz w:val="24"/>
              </w:rPr>
              <w:t>(2024年度)</w:t>
            </w:r>
          </w:p>
        </w:tc>
      </w:tr>
      <w:tr w14:paraId="3760CF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554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E2792F">
            <w:pPr>
              <w:jc w:val="center"/>
            </w:pPr>
            <w:r>
              <w:rPr>
                <w:rFonts w:ascii="宋体" w:hAnsi="宋体" w:eastAsia="宋体"/>
                <w:sz w:val="16"/>
              </w:rPr>
              <w:t>国有企业退休人员社会化管理补助资金项目</w:t>
            </w:r>
          </w:p>
        </w:tc>
      </w:tr>
      <w:tr w14:paraId="608638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C55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BA3816">
            <w:pPr>
              <w:jc w:val="center"/>
            </w:pPr>
            <w:r>
              <w:rPr>
                <w:rFonts w:ascii="宋体" w:hAnsi="宋体" w:eastAsia="宋体"/>
                <w:sz w:val="16"/>
              </w:rPr>
              <w:t>岳普湖县岳普湖镇人民政府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EA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B6A352">
            <w:pPr>
              <w:jc w:val="center"/>
            </w:pPr>
            <w:r>
              <w:rPr>
                <w:rFonts w:ascii="宋体" w:hAnsi="宋体" w:eastAsia="宋体"/>
                <w:sz w:val="16"/>
              </w:rPr>
              <w:t>岳普湖县岳普湖镇人民政府</w:t>
            </w:r>
          </w:p>
        </w:tc>
      </w:tr>
      <w:tr w14:paraId="26AC91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1234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2E19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709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2391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BDEE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3E2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ACE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9276">
            <w:pPr>
              <w:jc w:val="center"/>
            </w:pPr>
            <w:r>
              <w:rPr>
                <w:rFonts w:ascii="宋体" w:hAnsi="宋体" w:eastAsia="宋体"/>
                <w:sz w:val="16"/>
              </w:rPr>
              <w:t>得分</w:t>
            </w:r>
          </w:p>
        </w:tc>
      </w:tr>
      <w:tr w14:paraId="13FC9B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B9A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B4D3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FFF31">
            <w:pPr>
              <w:jc w:val="center"/>
            </w:pPr>
            <w:r>
              <w:rPr>
                <w:rFonts w:ascii="宋体" w:hAnsi="宋体" w:eastAsia="宋体"/>
                <w:sz w:val="16"/>
              </w:rPr>
              <w:t>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34D01">
            <w:pPr>
              <w:jc w:val="center"/>
            </w:pPr>
            <w:r>
              <w:rPr>
                <w:rFonts w:ascii="宋体" w:hAnsi="宋体" w:eastAsia="宋体"/>
                <w:sz w:val="16"/>
              </w:rPr>
              <w:t>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2865A">
            <w:pPr>
              <w:jc w:val="center"/>
            </w:pPr>
            <w:r>
              <w:rPr>
                <w:rFonts w:ascii="宋体" w:hAnsi="宋体" w:eastAsia="宋体"/>
                <w:sz w:val="16"/>
              </w:rPr>
              <w:t>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621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99B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3C368">
            <w:pPr>
              <w:jc w:val="center"/>
            </w:pPr>
            <w:r>
              <w:rPr>
                <w:rFonts w:ascii="宋体" w:hAnsi="宋体" w:eastAsia="宋体"/>
                <w:sz w:val="16"/>
              </w:rPr>
              <w:t>10.00分</w:t>
            </w:r>
          </w:p>
        </w:tc>
      </w:tr>
      <w:tr w14:paraId="3209CB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1F2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B5AC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229F0">
            <w:pPr>
              <w:jc w:val="center"/>
            </w:pPr>
            <w:r>
              <w:rPr>
                <w:rFonts w:ascii="宋体" w:hAnsi="宋体" w:eastAsia="宋体"/>
                <w:sz w:val="16"/>
              </w:rPr>
              <w:t>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A80CF">
            <w:pPr>
              <w:jc w:val="center"/>
            </w:pPr>
            <w:r>
              <w:rPr>
                <w:rFonts w:ascii="宋体" w:hAnsi="宋体" w:eastAsia="宋体"/>
                <w:sz w:val="16"/>
              </w:rPr>
              <w:t>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E0B10">
            <w:pPr>
              <w:jc w:val="center"/>
            </w:pPr>
            <w:r>
              <w:rPr>
                <w:rFonts w:ascii="宋体" w:hAnsi="宋体" w:eastAsia="宋体"/>
                <w:sz w:val="16"/>
              </w:rPr>
              <w:t>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5EA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DB39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3216">
            <w:pPr>
              <w:jc w:val="center"/>
            </w:pPr>
            <w:r>
              <w:rPr>
                <w:rFonts w:ascii="宋体" w:hAnsi="宋体" w:eastAsia="宋体"/>
                <w:sz w:val="16"/>
              </w:rPr>
              <w:t>—</w:t>
            </w:r>
          </w:p>
        </w:tc>
      </w:tr>
      <w:tr w14:paraId="43C86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E59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9ED9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464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529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5ED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071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0195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623C">
            <w:pPr>
              <w:jc w:val="center"/>
            </w:pPr>
            <w:r>
              <w:rPr>
                <w:rFonts w:ascii="宋体" w:hAnsi="宋体" w:eastAsia="宋体"/>
                <w:sz w:val="16"/>
              </w:rPr>
              <w:t>—</w:t>
            </w:r>
          </w:p>
        </w:tc>
      </w:tr>
      <w:tr w14:paraId="7FC8F3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C2E3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88CD5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07E447">
            <w:pPr>
              <w:jc w:val="center"/>
            </w:pPr>
            <w:r>
              <w:rPr>
                <w:rFonts w:ascii="宋体" w:hAnsi="宋体" w:eastAsia="宋体"/>
                <w:sz w:val="16"/>
              </w:rPr>
              <w:t>实际完成情况</w:t>
            </w:r>
          </w:p>
        </w:tc>
      </w:tr>
      <w:tr w14:paraId="370DEF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101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4FB89C">
            <w:pPr>
              <w:jc w:val="both"/>
            </w:pPr>
            <w:r>
              <w:rPr>
                <w:rFonts w:ascii="宋体" w:hAnsi="宋体" w:eastAsia="宋体"/>
                <w:sz w:val="16"/>
              </w:rPr>
              <w:t>根据岳普湖县实际情况，为进一步推进国有企业退休人员社会化管理，促进国有企业深化改革、健康发展，更好</w:t>
            </w:r>
            <w:r>
              <w:rPr>
                <w:rFonts w:hint="eastAsia" w:ascii="宋体" w:hAnsi="宋体"/>
                <w:sz w:val="16"/>
                <w:lang w:eastAsia="zh-CN"/>
              </w:rPr>
              <w:t>地</w:t>
            </w:r>
            <w:r>
              <w:rPr>
                <w:rFonts w:ascii="宋体" w:hAnsi="宋体" w:eastAsia="宋体"/>
                <w:sz w:val="16"/>
              </w:rPr>
              <w:t>落实国有企业退休人员社会化管理政策。对国有退休人员按照标准对岳普湖镇团结路社区提供国有企业退休人员</w:t>
            </w:r>
            <w:r>
              <w:rPr>
                <w:rFonts w:hint="eastAsia" w:ascii="宋体" w:hAnsi="宋体"/>
                <w:sz w:val="16"/>
                <w:lang w:eastAsia="zh-CN"/>
              </w:rPr>
              <w:t>生活</w:t>
            </w:r>
            <w:r>
              <w:rPr>
                <w:rFonts w:ascii="宋体" w:hAnsi="宋体" w:eastAsia="宋体"/>
                <w:sz w:val="16"/>
              </w:rPr>
              <w:t>管理经费补贴，用于采购娱乐活动用品，购置台球桌数量1张，购置书法桌数量2张，购置沙发数量1个。通过项目的实施打造良好国有企业退休人员服务环境条件和增加退休人员娱乐生活，提升岳普湖镇对国有企业退休人员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5512B5">
            <w:pPr>
              <w:jc w:val="both"/>
            </w:pPr>
            <w:r>
              <w:rPr>
                <w:rFonts w:ascii="宋体" w:hAnsi="宋体" w:eastAsia="宋体"/>
                <w:sz w:val="16"/>
              </w:rPr>
              <w:t>项目已完成对国有退休人员按照标准对岳普湖镇团结路社区提供国有企业退休人员</w:t>
            </w:r>
            <w:r>
              <w:rPr>
                <w:rFonts w:hint="eastAsia" w:ascii="宋体" w:hAnsi="宋体"/>
                <w:sz w:val="16"/>
                <w:lang w:eastAsia="zh-CN"/>
              </w:rPr>
              <w:t>生活</w:t>
            </w:r>
            <w:r>
              <w:rPr>
                <w:rFonts w:ascii="宋体" w:hAnsi="宋体" w:eastAsia="宋体"/>
                <w:sz w:val="16"/>
              </w:rPr>
              <w:t>管理经费补贴保障任务，相关娱乐活动用品采购任务，购置台球桌数量1张，购置书法桌数量2张，购置沙发数量1个。预算执行率100%。通过项目的实施打造良好国有企业退休人员服务环境条件和增加退休人员娱乐生活，提升岳普湖镇对国有企业退休人员服务能力。项目的受益人员满意度为100%。</w:t>
            </w:r>
          </w:p>
        </w:tc>
      </w:tr>
      <w:tr w14:paraId="339428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5422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ADED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CEB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4E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E230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A0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2D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945A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A52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037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3BC2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BE4D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4DE9A">
            <w:pPr>
              <w:jc w:val="center"/>
            </w:pPr>
            <w:r>
              <w:rPr>
                <w:rFonts w:ascii="宋体" w:hAnsi="宋体" w:eastAsia="宋体"/>
                <w:sz w:val="16"/>
              </w:rPr>
              <w:t>偏差原因分析及改进措施</w:t>
            </w:r>
          </w:p>
        </w:tc>
      </w:tr>
      <w:tr w14:paraId="61AD71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7651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187E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DC09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B646B">
            <w:pPr>
              <w:jc w:val="center"/>
            </w:pPr>
            <w:r>
              <w:rPr>
                <w:rFonts w:ascii="宋体" w:hAnsi="宋体" w:eastAsia="宋体"/>
                <w:sz w:val="16"/>
              </w:rPr>
              <w:t>购置台球桌数量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88D5A">
            <w:pPr>
              <w:jc w:val="center"/>
            </w:pPr>
            <w:r>
              <w:rPr>
                <w:rFonts w:ascii="宋体" w:hAnsi="宋体" w:eastAsia="宋体"/>
                <w:sz w:val="16"/>
              </w:rPr>
              <w:t>&gt;=1张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785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DC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5A69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BB7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B6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4A38">
            <w:pPr>
              <w:jc w:val="center"/>
            </w:pPr>
            <w:r>
              <w:rPr>
                <w:rFonts w:ascii="宋体" w:hAnsi="宋体" w:eastAsia="宋体"/>
                <w:sz w:val="16"/>
              </w:rPr>
              <w:t>=1张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20B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DD2E1">
            <w:pPr>
              <w:jc w:val="center"/>
            </w:pPr>
          </w:p>
        </w:tc>
      </w:tr>
      <w:tr w14:paraId="1C99BD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C14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B0B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119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CADDD">
            <w:pPr>
              <w:jc w:val="center"/>
            </w:pPr>
            <w:r>
              <w:rPr>
                <w:rFonts w:ascii="宋体" w:hAnsi="宋体" w:eastAsia="宋体"/>
                <w:sz w:val="16"/>
              </w:rPr>
              <w:t>购置书法桌数量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E95D7">
            <w:pPr>
              <w:jc w:val="center"/>
            </w:pPr>
            <w:r>
              <w:rPr>
                <w:rFonts w:ascii="宋体" w:hAnsi="宋体" w:eastAsia="宋体"/>
                <w:sz w:val="16"/>
              </w:rPr>
              <w:t>&gt;=2张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12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862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9E42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63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6B4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5D56">
            <w:pPr>
              <w:jc w:val="center"/>
            </w:pPr>
            <w:r>
              <w:rPr>
                <w:rFonts w:ascii="宋体" w:hAnsi="宋体" w:eastAsia="宋体"/>
                <w:sz w:val="16"/>
              </w:rPr>
              <w:t>=2张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D43D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6EFDB">
            <w:pPr>
              <w:jc w:val="center"/>
            </w:pPr>
          </w:p>
        </w:tc>
      </w:tr>
      <w:tr w14:paraId="0FDDF2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04F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BC1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94F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7A00">
            <w:pPr>
              <w:jc w:val="center"/>
            </w:pPr>
            <w:r>
              <w:rPr>
                <w:rFonts w:ascii="宋体" w:hAnsi="宋体" w:eastAsia="宋体"/>
                <w:sz w:val="16"/>
              </w:rPr>
              <w:t>购置沙发数量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4E343">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DC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A3D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1827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C1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007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CC44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A5A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AA4E0">
            <w:pPr>
              <w:jc w:val="center"/>
            </w:pPr>
          </w:p>
        </w:tc>
      </w:tr>
      <w:tr w14:paraId="43CE4A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176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E80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5AD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B1E21">
            <w:pPr>
              <w:jc w:val="center"/>
            </w:pPr>
            <w:r>
              <w:rPr>
                <w:rFonts w:ascii="宋体" w:hAnsi="宋体" w:eastAsia="宋体"/>
                <w:sz w:val="16"/>
              </w:rPr>
              <w:t>国有企业已退休人员管理服务工作与原企业分离的比例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4B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CC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081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000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AD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973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A0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E15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06BE1">
            <w:pPr>
              <w:jc w:val="center"/>
            </w:pPr>
          </w:p>
        </w:tc>
      </w:tr>
      <w:tr w14:paraId="0B1913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970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259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2CC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70C3F">
            <w:pPr>
              <w:jc w:val="center"/>
            </w:pPr>
            <w:r>
              <w:rPr>
                <w:rFonts w:ascii="宋体" w:hAnsi="宋体" w:eastAsia="宋体"/>
                <w:sz w:val="16"/>
              </w:rPr>
              <w:t>国有企业新办理退休人员管理服务工作与原企业分离的比例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52E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509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09A6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FF8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89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B564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F58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ED2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7094D">
            <w:pPr>
              <w:jc w:val="center"/>
            </w:pPr>
          </w:p>
        </w:tc>
      </w:tr>
      <w:tr w14:paraId="0A1815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70C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E0F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7B4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5D134">
            <w:pPr>
              <w:jc w:val="center"/>
            </w:pPr>
            <w:r>
              <w:rPr>
                <w:rFonts w:ascii="宋体" w:hAnsi="宋体" w:eastAsia="宋体"/>
                <w:sz w:val="16"/>
              </w:rPr>
              <w:t>国有企业不承担移交后的退休人员社会化管理服务费用的比例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F8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D26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0B5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F0E4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41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5B4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4A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FA9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D7339">
            <w:pPr>
              <w:jc w:val="center"/>
            </w:pPr>
          </w:p>
        </w:tc>
      </w:tr>
      <w:tr w14:paraId="3066D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BD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9DE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34F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EA59">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3AC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D28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A1D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54B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86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55D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26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4820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DA969">
            <w:pPr>
              <w:jc w:val="center"/>
            </w:pPr>
          </w:p>
        </w:tc>
      </w:tr>
      <w:tr w14:paraId="71165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142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70D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241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FF7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84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FA1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674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9C1F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85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39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4D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A36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2373B">
            <w:pPr>
              <w:jc w:val="center"/>
            </w:pPr>
          </w:p>
        </w:tc>
      </w:tr>
      <w:tr w14:paraId="1B86A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04D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EB9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23C9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24813">
            <w:pPr>
              <w:jc w:val="center"/>
            </w:pPr>
            <w:r>
              <w:rPr>
                <w:rFonts w:ascii="宋体" w:hAnsi="宋体" w:eastAsia="宋体"/>
                <w:sz w:val="16"/>
              </w:rPr>
              <w:t>下达资金及时率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1FF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14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DA9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290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BF4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5F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79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6A73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C85A3">
            <w:pPr>
              <w:jc w:val="center"/>
            </w:pPr>
          </w:p>
        </w:tc>
      </w:tr>
      <w:tr w14:paraId="707235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FF8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310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8E3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D291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8D8AB">
            <w:pPr>
              <w:jc w:val="center"/>
            </w:pPr>
            <w:r>
              <w:rPr>
                <w:rFonts w:ascii="宋体" w:hAnsi="宋体" w:eastAsia="宋体"/>
                <w:sz w:val="16"/>
              </w:rPr>
              <w:t>=2024年9月30日前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F0D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091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D3D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30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C66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6719">
            <w:pPr>
              <w:jc w:val="center"/>
            </w:pPr>
            <w:r>
              <w:rPr>
                <w:rFonts w:ascii="宋体" w:hAnsi="宋体" w:eastAsia="宋体"/>
                <w:sz w:val="16"/>
              </w:rPr>
              <w:t>=2024年7月22日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D71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E0030">
            <w:pPr>
              <w:jc w:val="center"/>
            </w:pPr>
          </w:p>
        </w:tc>
      </w:tr>
      <w:tr w14:paraId="16C22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B5E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C75E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8B3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86606">
            <w:pPr>
              <w:jc w:val="center"/>
            </w:pPr>
            <w:r>
              <w:rPr>
                <w:rFonts w:ascii="宋体" w:hAnsi="宋体" w:eastAsia="宋体"/>
                <w:sz w:val="16"/>
              </w:rPr>
              <w:t>采购台球桌成本控制数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5E0E4">
            <w:pPr>
              <w:jc w:val="center"/>
            </w:pPr>
            <w:r>
              <w:rPr>
                <w:rFonts w:ascii="宋体" w:hAnsi="宋体" w:eastAsia="宋体"/>
                <w:sz w:val="16"/>
              </w:rPr>
              <w:t>&lt;=0.70万元/张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F0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3E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428B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2C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967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A46E">
            <w:pPr>
              <w:jc w:val="center"/>
            </w:pPr>
            <w:r>
              <w:rPr>
                <w:rFonts w:ascii="宋体" w:hAnsi="宋体" w:eastAsia="宋体"/>
                <w:sz w:val="16"/>
              </w:rPr>
              <w:t>=0.7万元/张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B2B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E39C9">
            <w:pPr>
              <w:jc w:val="center"/>
            </w:pPr>
          </w:p>
        </w:tc>
      </w:tr>
      <w:tr w14:paraId="4F4DF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439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C8A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7EE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3EFDF">
            <w:pPr>
              <w:jc w:val="center"/>
            </w:pPr>
            <w:r>
              <w:rPr>
                <w:rFonts w:ascii="宋体" w:hAnsi="宋体" w:eastAsia="宋体"/>
                <w:sz w:val="16"/>
              </w:rPr>
              <w:t>采购书法桌成本控制数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52F1">
            <w:pPr>
              <w:jc w:val="center"/>
            </w:pPr>
            <w:r>
              <w:rPr>
                <w:rFonts w:ascii="宋体" w:hAnsi="宋体" w:eastAsia="宋体"/>
                <w:sz w:val="16"/>
              </w:rPr>
              <w:t>&lt;=0.11万元/张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255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558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8170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978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124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F1CA5">
            <w:pPr>
              <w:jc w:val="center"/>
            </w:pPr>
            <w:r>
              <w:rPr>
                <w:rFonts w:ascii="宋体" w:hAnsi="宋体" w:eastAsia="宋体"/>
                <w:sz w:val="16"/>
              </w:rPr>
              <w:t>=0.11万元/张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A7F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CA594">
            <w:pPr>
              <w:jc w:val="center"/>
            </w:pPr>
          </w:p>
        </w:tc>
      </w:tr>
      <w:tr w14:paraId="09143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310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7CE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A36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3EDF">
            <w:pPr>
              <w:jc w:val="center"/>
            </w:pPr>
            <w:r>
              <w:rPr>
                <w:rFonts w:ascii="宋体" w:hAnsi="宋体" w:eastAsia="宋体"/>
                <w:sz w:val="16"/>
              </w:rPr>
              <w:t>采购沙发成本控制数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681A">
            <w:pPr>
              <w:jc w:val="center"/>
            </w:pPr>
            <w:r>
              <w:rPr>
                <w:rFonts w:ascii="宋体" w:hAnsi="宋体" w:eastAsia="宋体"/>
                <w:sz w:val="16"/>
              </w:rPr>
              <w:t>&lt;=0.12万元/个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C0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A9C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B98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43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723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0892">
            <w:pPr>
              <w:jc w:val="center"/>
            </w:pPr>
            <w:r>
              <w:rPr>
                <w:rFonts w:ascii="宋体" w:hAnsi="宋体" w:eastAsia="宋体"/>
                <w:sz w:val="16"/>
              </w:rPr>
              <w:t>=0.12万元/个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068B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DC067">
            <w:pPr>
              <w:jc w:val="center"/>
            </w:pPr>
          </w:p>
        </w:tc>
      </w:tr>
      <w:tr w14:paraId="168B6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294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816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4FD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6DE2C">
            <w:pPr>
              <w:jc w:val="center"/>
            </w:pPr>
            <w:r>
              <w:rPr>
                <w:rFonts w:ascii="宋体" w:hAnsi="宋体" w:eastAsia="宋体"/>
                <w:sz w:val="16"/>
              </w:rPr>
              <w:t>提升岳普湖镇对国有企业退休人员服务能力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4BB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90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C800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A3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D4B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2C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F5B2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C43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09CAE">
            <w:pPr>
              <w:jc w:val="center"/>
            </w:pPr>
          </w:p>
        </w:tc>
      </w:tr>
      <w:tr w14:paraId="3CE899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AE5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7F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99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CE9B1">
            <w:pPr>
              <w:jc w:val="center"/>
            </w:pPr>
            <w:r>
              <w:rPr>
                <w:rFonts w:ascii="宋体" w:hAnsi="宋体" w:eastAsia="宋体"/>
                <w:sz w:val="16"/>
              </w:rPr>
              <w:t>国有企业退休人员满意度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2923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98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45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83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5C5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6C7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258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3C0B4">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7033A">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F47180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B507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0C62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34FE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E65FC">
            <w:pPr>
              <w:jc w:val="center"/>
            </w:pPr>
            <w:r>
              <w:rPr>
                <w:rFonts w:ascii="宋体" w:hAnsi="宋体" w:eastAsia="宋体"/>
                <w:sz w:val="16"/>
              </w:rPr>
              <w:t>99.8分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A8C950"/>
        </w:tc>
      </w:tr>
    </w:tbl>
    <w:p w14:paraId="54B4AD3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A4B2A09">
        <w:tblPrEx>
          <w:tblCellMar>
            <w:top w:w="0" w:type="dxa"/>
            <w:left w:w="108" w:type="dxa"/>
            <w:bottom w:w="0" w:type="dxa"/>
            <w:right w:w="108" w:type="dxa"/>
          </w:tblCellMar>
        </w:tblPrEx>
        <w:tc>
          <w:tcPr>
            <w:tcW w:w="8848" w:type="dxa"/>
            <w:gridSpan w:val="14"/>
            <w:vAlign w:val="center"/>
          </w:tcPr>
          <w:p w14:paraId="4E7583EF">
            <w:pPr>
              <w:jc w:val="center"/>
            </w:pPr>
            <w:r>
              <w:rPr>
                <w:rFonts w:ascii="宋体" w:hAnsi="宋体" w:eastAsia="宋体"/>
                <w:sz w:val="24"/>
              </w:rPr>
              <w:t>项目支出绩效自评表</w:t>
            </w:r>
          </w:p>
        </w:tc>
      </w:tr>
      <w:tr w14:paraId="4F48ABC0">
        <w:tblPrEx>
          <w:tblCellMar>
            <w:top w:w="0" w:type="dxa"/>
            <w:left w:w="108" w:type="dxa"/>
            <w:bottom w:w="0" w:type="dxa"/>
            <w:right w:w="108" w:type="dxa"/>
          </w:tblCellMar>
        </w:tblPrEx>
        <w:tc>
          <w:tcPr>
            <w:tcW w:w="8848" w:type="dxa"/>
            <w:gridSpan w:val="14"/>
            <w:vAlign w:val="center"/>
          </w:tcPr>
          <w:p w14:paraId="5718D6FD">
            <w:pPr>
              <w:jc w:val="center"/>
            </w:pPr>
            <w:r>
              <w:rPr>
                <w:rFonts w:ascii="宋体" w:hAnsi="宋体" w:eastAsia="宋体"/>
                <w:sz w:val="24"/>
              </w:rPr>
              <w:t>(2024年度)</w:t>
            </w:r>
          </w:p>
        </w:tc>
      </w:tr>
      <w:tr w14:paraId="726201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E94C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E9DED8">
            <w:pPr>
              <w:jc w:val="center"/>
            </w:pPr>
            <w:r>
              <w:rPr>
                <w:rFonts w:ascii="宋体" w:hAnsi="宋体" w:eastAsia="宋体"/>
                <w:sz w:val="16"/>
              </w:rPr>
              <w:t>岳普湖镇小游园建设土地补偿、林木补偿费项目</w:t>
            </w:r>
          </w:p>
        </w:tc>
      </w:tr>
      <w:tr w14:paraId="08C2D6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913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C50652">
            <w:pPr>
              <w:jc w:val="center"/>
            </w:pPr>
            <w:r>
              <w:rPr>
                <w:rFonts w:ascii="宋体" w:hAnsi="宋体" w:eastAsia="宋体"/>
                <w:sz w:val="16"/>
              </w:rPr>
              <w:t>岳普湖县岳普湖镇人民政府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016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72E167">
            <w:pPr>
              <w:jc w:val="center"/>
            </w:pPr>
            <w:r>
              <w:rPr>
                <w:rFonts w:ascii="宋体" w:hAnsi="宋体" w:eastAsia="宋体"/>
                <w:sz w:val="16"/>
              </w:rPr>
              <w:t>岳普湖县岳普湖镇人民政府</w:t>
            </w:r>
          </w:p>
        </w:tc>
      </w:tr>
      <w:tr w14:paraId="7D6F2B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36C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591F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3AB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A0D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4465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A70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2B3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BACDA">
            <w:pPr>
              <w:jc w:val="center"/>
            </w:pPr>
            <w:r>
              <w:rPr>
                <w:rFonts w:ascii="宋体" w:hAnsi="宋体" w:eastAsia="宋体"/>
                <w:sz w:val="16"/>
              </w:rPr>
              <w:t>得分</w:t>
            </w:r>
          </w:p>
        </w:tc>
      </w:tr>
      <w:tr w14:paraId="79663F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5FD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0B3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EAA09">
            <w:pPr>
              <w:jc w:val="center"/>
            </w:pPr>
            <w:r>
              <w:rPr>
                <w:rFonts w:ascii="宋体" w:hAnsi="宋体" w:eastAsia="宋体"/>
                <w:sz w:val="16"/>
              </w:rPr>
              <w:t>68.35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1F066">
            <w:pPr>
              <w:jc w:val="center"/>
            </w:pPr>
            <w:r>
              <w:rPr>
                <w:rFonts w:ascii="宋体" w:hAnsi="宋体" w:eastAsia="宋体"/>
                <w:sz w:val="16"/>
              </w:rPr>
              <w:t>68.35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FEB8B">
            <w:pPr>
              <w:jc w:val="center"/>
            </w:pPr>
            <w:r>
              <w:rPr>
                <w:rFonts w:ascii="宋体" w:hAnsi="宋体" w:eastAsia="宋体"/>
                <w:sz w:val="16"/>
              </w:rPr>
              <w:t>68.35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AE5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2B1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739D">
            <w:pPr>
              <w:jc w:val="center"/>
            </w:pPr>
            <w:r>
              <w:rPr>
                <w:rFonts w:ascii="宋体" w:hAnsi="宋体" w:eastAsia="宋体"/>
                <w:sz w:val="16"/>
              </w:rPr>
              <w:t>10.00分</w:t>
            </w:r>
          </w:p>
        </w:tc>
      </w:tr>
      <w:tr w14:paraId="1CF44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588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31D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051A9">
            <w:pPr>
              <w:jc w:val="center"/>
            </w:pPr>
            <w:r>
              <w:rPr>
                <w:rFonts w:ascii="宋体" w:hAnsi="宋体" w:eastAsia="宋体"/>
                <w:sz w:val="16"/>
              </w:rPr>
              <w:t>68.35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22DF8">
            <w:pPr>
              <w:jc w:val="center"/>
            </w:pPr>
            <w:r>
              <w:rPr>
                <w:rFonts w:ascii="宋体" w:hAnsi="宋体" w:eastAsia="宋体"/>
                <w:sz w:val="16"/>
              </w:rPr>
              <w:t>68.35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27AF7">
            <w:pPr>
              <w:jc w:val="center"/>
            </w:pPr>
            <w:r>
              <w:rPr>
                <w:rFonts w:ascii="宋体" w:hAnsi="宋体" w:eastAsia="宋体"/>
                <w:sz w:val="16"/>
              </w:rPr>
              <w:t>68.35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0E3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3F45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C79CE">
            <w:pPr>
              <w:jc w:val="center"/>
            </w:pPr>
            <w:r>
              <w:rPr>
                <w:rFonts w:ascii="宋体" w:hAnsi="宋体" w:eastAsia="宋体"/>
                <w:sz w:val="16"/>
              </w:rPr>
              <w:t>—</w:t>
            </w:r>
          </w:p>
        </w:tc>
      </w:tr>
      <w:tr w14:paraId="08AEF3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BF1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8F5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863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BC6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6F1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36A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66D8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43E7">
            <w:pPr>
              <w:jc w:val="center"/>
            </w:pPr>
            <w:r>
              <w:rPr>
                <w:rFonts w:ascii="宋体" w:hAnsi="宋体" w:eastAsia="宋体"/>
                <w:sz w:val="16"/>
              </w:rPr>
              <w:t>—</w:t>
            </w:r>
          </w:p>
        </w:tc>
      </w:tr>
      <w:tr w14:paraId="2D450E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AF67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D0EA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DA0DA9">
            <w:pPr>
              <w:jc w:val="center"/>
            </w:pPr>
            <w:r>
              <w:rPr>
                <w:rFonts w:ascii="宋体" w:hAnsi="宋体" w:eastAsia="宋体"/>
                <w:sz w:val="16"/>
              </w:rPr>
              <w:t>实际完成情况</w:t>
            </w:r>
          </w:p>
        </w:tc>
      </w:tr>
      <w:tr w14:paraId="31B70E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ACE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E6F3E9">
            <w:pPr>
              <w:jc w:val="both"/>
            </w:pPr>
            <w:r>
              <w:rPr>
                <w:rFonts w:ascii="宋体" w:hAnsi="宋体" w:eastAsia="宋体"/>
                <w:sz w:val="16"/>
              </w:rPr>
              <w:t>根据岳普湖县实际情况，为认真落实自治区党委、地委、县委工作安排部署，岳普湖镇对2021年以来涉及</w:t>
            </w:r>
            <w:r>
              <w:rPr>
                <w:rFonts w:hint="eastAsia" w:ascii="宋体" w:hAnsi="宋体"/>
                <w:sz w:val="16"/>
                <w:lang w:eastAsia="zh-CN"/>
              </w:rPr>
              <w:t>占用</w:t>
            </w:r>
            <w:r>
              <w:rPr>
                <w:rFonts w:ascii="宋体" w:hAnsi="宋体" w:eastAsia="宋体"/>
                <w:sz w:val="16"/>
              </w:rPr>
              <w:t>土地及进行改造的林木土地补偿欠款的问题，进行了摸排处理。对岳普湖镇老客运站对面占用农民土地修造小游园发放土地补偿，共涉及30户，其中：土地补偿发放户数13户，林地补偿发放户数17户。通过项目的实施提升业务保障能力和社会服务能力，保障为群众提供政府性公共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4B5A5F">
            <w:pPr>
              <w:jc w:val="both"/>
            </w:pPr>
            <w:r>
              <w:rPr>
                <w:rFonts w:ascii="宋体" w:hAnsi="宋体" w:eastAsia="宋体"/>
                <w:sz w:val="16"/>
              </w:rPr>
              <w:t>项目已完成岳普湖镇老客运站对面占用农民土地修造小游园土地补偿费发放任务，共涉及30户，其中：土地补偿发放户数13户，林地补偿发放户数17户。预算执行率100%。通过项目的实施有效提升业务保障能力和社会服务能力，保障为群众提供政府性公共服务。项目的受益人员满意度为100%。</w:t>
            </w:r>
          </w:p>
        </w:tc>
      </w:tr>
      <w:tr w14:paraId="3BFDF3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FF21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C70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B69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88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3F5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91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A2A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61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2715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BAA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C2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597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B7662">
            <w:pPr>
              <w:jc w:val="center"/>
            </w:pPr>
            <w:r>
              <w:rPr>
                <w:rFonts w:ascii="宋体" w:hAnsi="宋体" w:eastAsia="宋体"/>
                <w:sz w:val="16"/>
              </w:rPr>
              <w:t>偏差原因分析及改进措施</w:t>
            </w:r>
          </w:p>
        </w:tc>
      </w:tr>
      <w:tr w14:paraId="7ABD03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0461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982A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A85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4012">
            <w:pPr>
              <w:jc w:val="center"/>
            </w:pPr>
            <w:r>
              <w:rPr>
                <w:rFonts w:ascii="宋体" w:hAnsi="宋体" w:eastAsia="宋体"/>
                <w:sz w:val="16"/>
              </w:rPr>
              <w:t>土地补偿发放户数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D5CD">
            <w:pPr>
              <w:jc w:val="center"/>
            </w:pPr>
            <w:r>
              <w:rPr>
                <w:rFonts w:ascii="宋体" w:hAnsi="宋体" w:eastAsia="宋体"/>
                <w:sz w:val="16"/>
              </w:rPr>
              <w:t>&gt;=13户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23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A5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E891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20C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9E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C967">
            <w:pPr>
              <w:jc w:val="center"/>
            </w:pPr>
            <w:r>
              <w:rPr>
                <w:rFonts w:ascii="宋体" w:hAnsi="宋体" w:eastAsia="宋体"/>
                <w:sz w:val="16"/>
              </w:rPr>
              <w:t>=13户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7F89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A15CD">
            <w:pPr>
              <w:jc w:val="center"/>
            </w:pPr>
          </w:p>
        </w:tc>
      </w:tr>
      <w:tr w14:paraId="19C13F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7C6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E41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8D7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EBA1">
            <w:pPr>
              <w:jc w:val="center"/>
            </w:pPr>
            <w:r>
              <w:rPr>
                <w:rFonts w:ascii="宋体" w:hAnsi="宋体" w:eastAsia="宋体"/>
                <w:sz w:val="16"/>
              </w:rPr>
              <w:t>林地补偿发放户数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42837">
            <w:pPr>
              <w:jc w:val="center"/>
            </w:pPr>
            <w:r>
              <w:rPr>
                <w:rFonts w:ascii="宋体" w:hAnsi="宋体" w:eastAsia="宋体"/>
                <w:sz w:val="16"/>
              </w:rPr>
              <w:t>&gt;=17户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A0D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04E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096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0E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32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2C9F3">
            <w:pPr>
              <w:jc w:val="center"/>
            </w:pPr>
            <w:r>
              <w:rPr>
                <w:rFonts w:ascii="宋体" w:hAnsi="宋体" w:eastAsia="宋体"/>
                <w:sz w:val="16"/>
              </w:rPr>
              <w:t>=17户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8E2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B1611">
            <w:pPr>
              <w:jc w:val="center"/>
            </w:pPr>
          </w:p>
        </w:tc>
      </w:tr>
      <w:tr w14:paraId="509EF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7A7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4DA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881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ED143">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5A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814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96B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DD7A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1C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3E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44F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F32E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5EF1C">
            <w:pPr>
              <w:jc w:val="center"/>
            </w:pPr>
          </w:p>
        </w:tc>
      </w:tr>
      <w:tr w14:paraId="24D71A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EB0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BB3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D69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2B56">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9A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33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24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1076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C66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33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1E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81D1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3E11E">
            <w:pPr>
              <w:jc w:val="center"/>
            </w:pPr>
          </w:p>
        </w:tc>
      </w:tr>
      <w:tr w14:paraId="497F26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02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D9F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A83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137D8">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6C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67E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7C1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B9D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24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29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3C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EC1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36D21">
            <w:pPr>
              <w:jc w:val="center"/>
            </w:pPr>
          </w:p>
        </w:tc>
      </w:tr>
      <w:tr w14:paraId="498223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C56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B5C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0D6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68C73">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B8E82">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58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2C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11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53C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43F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1BEC">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5E1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D2057">
            <w:pPr>
              <w:jc w:val="center"/>
            </w:pPr>
          </w:p>
        </w:tc>
      </w:tr>
      <w:tr w14:paraId="42EBA6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891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63CC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5FC7D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EAED0">
            <w:pPr>
              <w:jc w:val="center"/>
            </w:pPr>
            <w:r>
              <w:rPr>
                <w:rFonts w:ascii="宋体" w:hAnsi="宋体" w:eastAsia="宋体"/>
                <w:sz w:val="16"/>
              </w:rPr>
              <w:t>土地补偿费预算控制数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D564">
            <w:pPr>
              <w:jc w:val="center"/>
            </w:pPr>
            <w:r>
              <w:rPr>
                <w:rFonts w:ascii="宋体" w:hAnsi="宋体" w:eastAsia="宋体"/>
                <w:sz w:val="16"/>
              </w:rPr>
              <w:t>&lt;=44.74万元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71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98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00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32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489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D4FA">
            <w:pPr>
              <w:jc w:val="center"/>
            </w:pPr>
            <w:r>
              <w:rPr>
                <w:rFonts w:ascii="宋体" w:hAnsi="宋体" w:eastAsia="宋体"/>
                <w:sz w:val="16"/>
              </w:rPr>
              <w:t>=44.74万元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4C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DE738">
            <w:pPr>
              <w:jc w:val="center"/>
            </w:pPr>
          </w:p>
        </w:tc>
      </w:tr>
      <w:tr w14:paraId="301CB4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018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97B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308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A0FB">
            <w:pPr>
              <w:jc w:val="center"/>
            </w:pPr>
            <w:r>
              <w:rPr>
                <w:rFonts w:ascii="宋体" w:hAnsi="宋体" w:eastAsia="宋体"/>
                <w:sz w:val="16"/>
              </w:rPr>
              <w:t>林木补偿费预算控制数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B8814">
            <w:pPr>
              <w:jc w:val="center"/>
            </w:pPr>
            <w:r>
              <w:rPr>
                <w:rFonts w:ascii="宋体" w:hAnsi="宋体" w:eastAsia="宋体"/>
                <w:sz w:val="16"/>
              </w:rPr>
              <w:t>&lt;=23.61万元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324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1E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BBA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7F9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135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1115">
            <w:pPr>
              <w:jc w:val="center"/>
            </w:pPr>
            <w:r>
              <w:rPr>
                <w:rFonts w:ascii="宋体" w:hAnsi="宋体" w:eastAsia="宋体"/>
                <w:sz w:val="16"/>
              </w:rPr>
              <w:t>=23.61万元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A8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30789">
            <w:pPr>
              <w:jc w:val="center"/>
            </w:pPr>
          </w:p>
        </w:tc>
      </w:tr>
      <w:tr w14:paraId="43FA2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F3E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5A9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DB2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4C4F">
            <w:pPr>
              <w:jc w:val="center"/>
            </w:pPr>
            <w:r>
              <w:rPr>
                <w:rFonts w:ascii="宋体" w:hAnsi="宋体" w:eastAsia="宋体"/>
                <w:sz w:val="16"/>
              </w:rPr>
              <w:t>提升业务保障能力和社会服务能力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3C1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D0F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AD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46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3A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8DC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5FB0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7254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37A6F">
            <w:pPr>
              <w:jc w:val="center"/>
            </w:pPr>
          </w:p>
        </w:tc>
      </w:tr>
      <w:tr w14:paraId="0B2D30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1E3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F4E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9C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A040">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888C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541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C0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35E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C8B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691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33F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8C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6D816">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F2607F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62DD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3F0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5B92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8592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A4CA23"/>
        </w:tc>
      </w:tr>
    </w:tbl>
    <w:p w14:paraId="70C2E96A">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16"/>
        <w:gridCol w:w="777"/>
        <w:gridCol w:w="633"/>
        <w:gridCol w:w="603"/>
        <w:gridCol w:w="632"/>
      </w:tblGrid>
      <w:tr w14:paraId="32D2DDE1">
        <w:tblPrEx>
          <w:tblCellMar>
            <w:top w:w="0" w:type="dxa"/>
            <w:left w:w="108" w:type="dxa"/>
            <w:bottom w:w="0" w:type="dxa"/>
            <w:right w:w="108" w:type="dxa"/>
          </w:tblCellMar>
        </w:tblPrEx>
        <w:tc>
          <w:tcPr>
            <w:tcW w:w="8848" w:type="dxa"/>
            <w:gridSpan w:val="14"/>
            <w:vAlign w:val="center"/>
          </w:tcPr>
          <w:p w14:paraId="62A154A1">
            <w:pPr>
              <w:jc w:val="center"/>
            </w:pPr>
            <w:r>
              <w:rPr>
                <w:rFonts w:ascii="宋体" w:hAnsi="宋体" w:eastAsia="宋体"/>
                <w:sz w:val="24"/>
              </w:rPr>
              <w:t>项目支出绩效自评表</w:t>
            </w:r>
          </w:p>
        </w:tc>
      </w:tr>
      <w:tr w14:paraId="2D280568">
        <w:tblPrEx>
          <w:tblCellMar>
            <w:top w:w="0" w:type="dxa"/>
            <w:left w:w="108" w:type="dxa"/>
            <w:bottom w:w="0" w:type="dxa"/>
            <w:right w:w="108" w:type="dxa"/>
          </w:tblCellMar>
        </w:tblPrEx>
        <w:tc>
          <w:tcPr>
            <w:tcW w:w="8848" w:type="dxa"/>
            <w:gridSpan w:val="14"/>
            <w:vAlign w:val="center"/>
          </w:tcPr>
          <w:p w14:paraId="649B2A8C">
            <w:pPr>
              <w:jc w:val="center"/>
            </w:pPr>
            <w:r>
              <w:rPr>
                <w:rFonts w:ascii="宋体" w:hAnsi="宋体" w:eastAsia="宋体"/>
                <w:sz w:val="24"/>
              </w:rPr>
              <w:t>(2024年度)</w:t>
            </w:r>
          </w:p>
        </w:tc>
      </w:tr>
      <w:tr w14:paraId="1470D5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91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2A32E2">
            <w:pPr>
              <w:jc w:val="center"/>
            </w:pPr>
            <w:r>
              <w:rPr>
                <w:rFonts w:ascii="宋体" w:hAnsi="宋体" w:eastAsia="宋体"/>
                <w:sz w:val="16"/>
              </w:rPr>
              <w:t>岳普湖镇援疆资金项目</w:t>
            </w:r>
          </w:p>
        </w:tc>
      </w:tr>
      <w:tr w14:paraId="1FB820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CF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DFDA26">
            <w:pPr>
              <w:jc w:val="center"/>
            </w:pPr>
            <w:r>
              <w:rPr>
                <w:rFonts w:ascii="宋体" w:hAnsi="宋体" w:eastAsia="宋体"/>
                <w:sz w:val="16"/>
              </w:rPr>
              <w:t>岳普湖县岳普湖镇人民政府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C438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3AC131">
            <w:pPr>
              <w:jc w:val="center"/>
            </w:pPr>
            <w:r>
              <w:rPr>
                <w:rFonts w:ascii="宋体" w:hAnsi="宋体" w:eastAsia="宋体"/>
                <w:sz w:val="16"/>
              </w:rPr>
              <w:t>岳普湖县岳普湖镇人民政府</w:t>
            </w:r>
          </w:p>
        </w:tc>
      </w:tr>
      <w:tr w14:paraId="63DD71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E06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207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2CC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685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49C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3B4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BEAF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055E">
            <w:pPr>
              <w:jc w:val="center"/>
            </w:pPr>
            <w:r>
              <w:rPr>
                <w:rFonts w:ascii="宋体" w:hAnsi="宋体" w:eastAsia="宋体"/>
                <w:sz w:val="16"/>
              </w:rPr>
              <w:t>得分</w:t>
            </w:r>
          </w:p>
        </w:tc>
      </w:tr>
      <w:tr w14:paraId="0C38F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D51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5AF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A4916">
            <w:pPr>
              <w:jc w:val="center"/>
            </w:pPr>
            <w:r>
              <w:rPr>
                <w:rFonts w:ascii="宋体" w:hAnsi="宋体" w:eastAsia="宋体"/>
                <w:sz w:val="16"/>
              </w:rPr>
              <w:t>464.42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B35EE">
            <w:pPr>
              <w:jc w:val="center"/>
            </w:pPr>
            <w:r>
              <w:rPr>
                <w:rFonts w:ascii="宋体" w:hAnsi="宋体" w:eastAsia="宋体"/>
                <w:sz w:val="16"/>
              </w:rPr>
              <w:t>464.42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F8A1B">
            <w:pPr>
              <w:jc w:val="center"/>
            </w:pPr>
            <w:r>
              <w:rPr>
                <w:rFonts w:ascii="宋体" w:hAnsi="宋体" w:eastAsia="宋体"/>
                <w:sz w:val="16"/>
              </w:rPr>
              <w:t>464.42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839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092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5E8B">
            <w:pPr>
              <w:jc w:val="center"/>
            </w:pPr>
            <w:r>
              <w:rPr>
                <w:rFonts w:ascii="宋体" w:hAnsi="宋体" w:eastAsia="宋体"/>
                <w:sz w:val="16"/>
              </w:rPr>
              <w:t>10.00分</w:t>
            </w:r>
          </w:p>
        </w:tc>
      </w:tr>
      <w:tr w14:paraId="2EF4F3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86E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CD13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20C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8A6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6B8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CED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629B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811C">
            <w:pPr>
              <w:jc w:val="center"/>
            </w:pPr>
            <w:r>
              <w:rPr>
                <w:rFonts w:ascii="宋体" w:hAnsi="宋体" w:eastAsia="宋体"/>
                <w:sz w:val="16"/>
              </w:rPr>
              <w:t>—</w:t>
            </w:r>
          </w:p>
        </w:tc>
      </w:tr>
      <w:tr w14:paraId="2C7A81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D4B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A391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96E96">
            <w:pPr>
              <w:jc w:val="center"/>
            </w:pPr>
            <w:r>
              <w:rPr>
                <w:rFonts w:ascii="宋体" w:hAnsi="宋体" w:eastAsia="宋体"/>
                <w:sz w:val="16"/>
              </w:rPr>
              <w:t>464.42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27877">
            <w:pPr>
              <w:jc w:val="center"/>
            </w:pPr>
            <w:r>
              <w:rPr>
                <w:rFonts w:ascii="宋体" w:hAnsi="宋体" w:eastAsia="宋体"/>
                <w:sz w:val="16"/>
              </w:rPr>
              <w:t>464.42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9B51F">
            <w:pPr>
              <w:jc w:val="center"/>
            </w:pPr>
            <w:r>
              <w:rPr>
                <w:rFonts w:ascii="宋体" w:hAnsi="宋体" w:eastAsia="宋体"/>
                <w:sz w:val="16"/>
              </w:rPr>
              <w:t>464.42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995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0561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63949">
            <w:pPr>
              <w:jc w:val="center"/>
            </w:pPr>
            <w:r>
              <w:rPr>
                <w:rFonts w:ascii="宋体" w:hAnsi="宋体" w:eastAsia="宋体"/>
                <w:sz w:val="16"/>
              </w:rPr>
              <w:t>—</w:t>
            </w:r>
          </w:p>
        </w:tc>
      </w:tr>
      <w:tr w14:paraId="095136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6A8A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D38D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021A74">
            <w:pPr>
              <w:jc w:val="center"/>
            </w:pPr>
            <w:r>
              <w:rPr>
                <w:rFonts w:ascii="宋体" w:hAnsi="宋体" w:eastAsia="宋体"/>
                <w:sz w:val="16"/>
              </w:rPr>
              <w:t>实际完成情况</w:t>
            </w:r>
          </w:p>
        </w:tc>
      </w:tr>
      <w:tr w14:paraId="67F9B6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6CA5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B81622">
            <w:pPr>
              <w:jc w:val="both"/>
            </w:pPr>
            <w:r>
              <w:rPr>
                <w:rFonts w:ascii="宋体" w:hAnsi="宋体" w:eastAsia="宋体"/>
                <w:sz w:val="16"/>
              </w:rPr>
              <w:t>根据岳普湖县实际情况，坚持援疆项目资金向民生和基层倾斜，以铸牢中华民族共同体意识为主线，持续推动文化润疆工作有形有感有效开展。为岳普湖镇提供援疆资金保障，完成乡村振兴、文化浸润等项目。援疆资金保障项目数量2个。通过项目的实施推动受援地经济发展和民生改善，持续推动文化润疆工作有形有感有效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EBD5C1">
            <w:pPr>
              <w:jc w:val="both"/>
            </w:pPr>
            <w:r>
              <w:rPr>
                <w:rFonts w:ascii="宋体" w:hAnsi="宋体" w:eastAsia="宋体"/>
                <w:sz w:val="16"/>
              </w:rPr>
              <w:t>项目已完成岳普湖镇援疆资金保障任务，已完成乡村振兴、文化浸润等项目保障工作，援疆资金保障项目数量2个。预算执行率100%。通过项目的实施有效推动受援地经济发展和民生改善，持续推动文化润疆工作有形有感有效开展。</w:t>
            </w:r>
          </w:p>
        </w:tc>
      </w:tr>
      <w:tr w14:paraId="5B068E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913B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A0AC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0B6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491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0110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7251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7275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449B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A8A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817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078B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EC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829F0">
            <w:pPr>
              <w:jc w:val="center"/>
            </w:pPr>
            <w:r>
              <w:rPr>
                <w:rFonts w:ascii="宋体" w:hAnsi="宋体" w:eastAsia="宋体"/>
                <w:sz w:val="16"/>
              </w:rPr>
              <w:t>偏差原因分析及改进措施</w:t>
            </w:r>
          </w:p>
        </w:tc>
      </w:tr>
      <w:tr w14:paraId="56064E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E48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A8D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5A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A9624">
            <w:pPr>
              <w:jc w:val="center"/>
            </w:pPr>
            <w:r>
              <w:rPr>
                <w:rFonts w:ascii="宋体" w:hAnsi="宋体" w:eastAsia="宋体"/>
                <w:sz w:val="16"/>
              </w:rPr>
              <w:t>援疆资金保障项目数量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6080">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362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4A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5D9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581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110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F10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D2B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27AC0">
            <w:pPr>
              <w:jc w:val="center"/>
            </w:pPr>
          </w:p>
        </w:tc>
      </w:tr>
      <w:tr w14:paraId="00F88F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881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CBB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4E8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2E6B2">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73C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D0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D99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922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6BB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A7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8EC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7DA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80B9D">
            <w:pPr>
              <w:jc w:val="center"/>
            </w:pPr>
          </w:p>
        </w:tc>
      </w:tr>
      <w:tr w14:paraId="31FC85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D9A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24C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F03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6684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894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BB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F3B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AD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F45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93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F1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0F1A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77224">
            <w:pPr>
              <w:jc w:val="center"/>
            </w:pPr>
          </w:p>
        </w:tc>
      </w:tr>
      <w:tr w14:paraId="152AC3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D54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2C8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560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9662">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44A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9E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84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EE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A78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CD6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9A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C28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3B420">
            <w:pPr>
              <w:jc w:val="center"/>
            </w:pPr>
          </w:p>
        </w:tc>
      </w:tr>
      <w:tr w14:paraId="119C71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037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7B3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A55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54D1">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84D84">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7AC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25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56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C51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CF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4E28">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215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623E4">
            <w:pPr>
              <w:jc w:val="center"/>
            </w:pPr>
          </w:p>
        </w:tc>
      </w:tr>
      <w:tr w14:paraId="65E578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883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073F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535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9ABC">
            <w:pPr>
              <w:jc w:val="center"/>
            </w:pPr>
            <w:r>
              <w:rPr>
                <w:rFonts w:ascii="宋体" w:hAnsi="宋体" w:eastAsia="宋体"/>
                <w:sz w:val="16"/>
              </w:rPr>
              <w:t>文化浸润建设预算控制数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6CCFB">
            <w:pPr>
              <w:jc w:val="center"/>
            </w:pPr>
            <w:r>
              <w:rPr>
                <w:rFonts w:ascii="宋体" w:hAnsi="宋体" w:eastAsia="宋体"/>
                <w:sz w:val="16"/>
              </w:rPr>
              <w:t>&lt;=227.99万元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2E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3CA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D2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F6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8A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FEBA">
            <w:pPr>
              <w:jc w:val="center"/>
            </w:pPr>
            <w:r>
              <w:rPr>
                <w:rFonts w:ascii="宋体" w:hAnsi="宋体" w:eastAsia="宋体"/>
                <w:sz w:val="16"/>
              </w:rPr>
              <w:t>=227.99万元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7C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94C96">
            <w:pPr>
              <w:jc w:val="center"/>
            </w:pPr>
          </w:p>
        </w:tc>
      </w:tr>
      <w:tr w14:paraId="7B43FC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887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DC7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4B8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7BC0">
            <w:pPr>
              <w:jc w:val="center"/>
            </w:pPr>
            <w:r>
              <w:rPr>
                <w:rFonts w:ascii="宋体" w:hAnsi="宋体" w:eastAsia="宋体"/>
                <w:sz w:val="16"/>
              </w:rPr>
              <w:t>乡村振兴建设预算控制数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9CAFC">
            <w:pPr>
              <w:jc w:val="center"/>
            </w:pPr>
            <w:r>
              <w:rPr>
                <w:rFonts w:ascii="宋体" w:hAnsi="宋体" w:eastAsia="宋体"/>
                <w:sz w:val="16"/>
              </w:rPr>
              <w:t>&lt;=236.43万元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F9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587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8C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435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94C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3AD46">
            <w:pPr>
              <w:jc w:val="center"/>
            </w:pPr>
            <w:r>
              <w:rPr>
                <w:rFonts w:ascii="宋体" w:hAnsi="宋体" w:eastAsia="宋体"/>
                <w:sz w:val="16"/>
              </w:rPr>
              <w:t>=236.43万元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7CA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A0561">
            <w:pPr>
              <w:jc w:val="center"/>
            </w:pPr>
          </w:p>
        </w:tc>
      </w:tr>
      <w:tr w14:paraId="72460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2C7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4E8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58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0FE1D">
            <w:pPr>
              <w:jc w:val="center"/>
            </w:pPr>
            <w:r>
              <w:rPr>
                <w:rFonts w:ascii="宋体" w:hAnsi="宋体" w:eastAsia="宋体"/>
                <w:sz w:val="16"/>
              </w:rPr>
              <w:t>推动受援地经济发展和民生改善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FEC75">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184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C6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136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C2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4F8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E8DDB">
            <w:pPr>
              <w:jc w:val="center"/>
            </w:pPr>
            <w:r>
              <w:rPr>
                <w:rFonts w:ascii="宋体" w:hAnsi="宋体" w:eastAsia="宋体"/>
                <w:sz w:val="16"/>
              </w:rPr>
              <w:t>有效推动</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914AB">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390C2">
            <w:pPr>
              <w:jc w:val="center"/>
            </w:pPr>
          </w:p>
        </w:tc>
      </w:tr>
      <w:tr w14:paraId="40A5850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2DB4E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D88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021E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19DC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5EA364"/>
        </w:tc>
      </w:tr>
    </w:tbl>
    <w:p w14:paraId="21BC8D6A">
      <w:r>
        <w:br w:type="page"/>
      </w:r>
    </w:p>
    <w:p w14:paraId="1FD00374">
      <w:pPr>
        <w:spacing w:line="640" w:lineRule="exact"/>
        <w:ind w:firstLine="640"/>
        <w:jc w:val="both"/>
        <w:outlineLvl w:val="2"/>
      </w:pPr>
      <w:r>
        <w:rPr>
          <w:rFonts w:ascii="黑体" w:hAnsi="黑体" w:eastAsia="黑体"/>
          <w:sz w:val="32"/>
        </w:rPr>
        <w:t>十二、其他需说明的事项</w:t>
      </w:r>
    </w:p>
    <w:p w14:paraId="476B5611">
      <w:pPr>
        <w:spacing w:line="580" w:lineRule="exact"/>
        <w:ind w:firstLine="640"/>
        <w:jc w:val="both"/>
      </w:pPr>
      <w:r>
        <w:rPr>
          <w:rFonts w:ascii="仿宋_GB2312" w:hAnsi="仿宋_GB2312" w:eastAsia="仿宋_GB2312"/>
          <w:b w:val="0"/>
          <w:sz w:val="32"/>
        </w:rPr>
        <w:t>本单位无其他需说明的事项。</w:t>
      </w:r>
    </w:p>
    <w:p w14:paraId="13EFF7CA">
      <w:r>
        <w:br w:type="page"/>
      </w:r>
    </w:p>
    <w:p w14:paraId="67D3F145">
      <w:pPr>
        <w:spacing w:line="240" w:lineRule="auto"/>
        <w:jc w:val="center"/>
        <w:outlineLvl w:val="1"/>
      </w:pPr>
      <w:r>
        <w:rPr>
          <w:rFonts w:ascii="黑体" w:hAnsi="黑体" w:eastAsia="黑体"/>
          <w:sz w:val="32"/>
        </w:rPr>
        <w:t>第三部分 专业名词解释</w:t>
      </w:r>
    </w:p>
    <w:p w14:paraId="76AEA31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CEBD86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F5D7B2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CE15FA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7FE2FE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9DD28C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5D4A21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73A594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EC4F70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68C0F6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DCFB9A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B3FE57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FFA080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BD40C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42B076D">
      <w:r>
        <w:br w:type="page"/>
      </w:r>
    </w:p>
    <w:p w14:paraId="42F35F5D">
      <w:pPr>
        <w:spacing w:line="240" w:lineRule="auto"/>
        <w:jc w:val="center"/>
        <w:outlineLvl w:val="1"/>
      </w:pPr>
      <w:r>
        <w:rPr>
          <w:rFonts w:ascii="黑体" w:hAnsi="黑体" w:eastAsia="黑体"/>
          <w:sz w:val="32"/>
        </w:rPr>
        <w:t>第四部分 部门决算报表（见附表）</w:t>
      </w:r>
    </w:p>
    <w:p w14:paraId="4D85700B">
      <w:pPr>
        <w:spacing w:line="240" w:lineRule="auto"/>
        <w:ind w:firstLine="640"/>
        <w:jc w:val="both"/>
      </w:pPr>
      <w:r>
        <w:rPr>
          <w:rFonts w:ascii="仿宋_GB2312" w:hAnsi="仿宋_GB2312" w:eastAsia="仿宋_GB2312"/>
          <w:b w:val="0"/>
          <w:sz w:val="32"/>
        </w:rPr>
        <w:t>一、《收入支出决算总表》</w:t>
      </w:r>
    </w:p>
    <w:p w14:paraId="4F16A70C">
      <w:pPr>
        <w:spacing w:line="240" w:lineRule="auto"/>
        <w:ind w:firstLine="640"/>
        <w:jc w:val="both"/>
      </w:pPr>
      <w:r>
        <w:rPr>
          <w:rFonts w:ascii="仿宋_GB2312" w:hAnsi="仿宋_GB2312" w:eastAsia="仿宋_GB2312"/>
          <w:b w:val="0"/>
          <w:sz w:val="32"/>
        </w:rPr>
        <w:t>二、《收入决算表》</w:t>
      </w:r>
    </w:p>
    <w:p w14:paraId="5BC8B169">
      <w:pPr>
        <w:spacing w:line="240" w:lineRule="auto"/>
        <w:ind w:firstLine="640"/>
        <w:jc w:val="both"/>
      </w:pPr>
      <w:r>
        <w:rPr>
          <w:rFonts w:ascii="仿宋_GB2312" w:hAnsi="仿宋_GB2312" w:eastAsia="仿宋_GB2312"/>
          <w:b w:val="0"/>
          <w:sz w:val="32"/>
        </w:rPr>
        <w:t>三、《支出决算表》</w:t>
      </w:r>
    </w:p>
    <w:p w14:paraId="6D0E167F">
      <w:pPr>
        <w:spacing w:line="240" w:lineRule="auto"/>
        <w:ind w:firstLine="640"/>
        <w:jc w:val="both"/>
      </w:pPr>
      <w:r>
        <w:rPr>
          <w:rFonts w:ascii="仿宋_GB2312" w:hAnsi="仿宋_GB2312" w:eastAsia="仿宋_GB2312"/>
          <w:b w:val="0"/>
          <w:sz w:val="32"/>
        </w:rPr>
        <w:t>四、《财政拨款收入支出决算总表》</w:t>
      </w:r>
    </w:p>
    <w:p w14:paraId="79889BB8">
      <w:pPr>
        <w:spacing w:line="240" w:lineRule="auto"/>
        <w:ind w:firstLine="640"/>
        <w:jc w:val="both"/>
      </w:pPr>
      <w:r>
        <w:rPr>
          <w:rFonts w:ascii="仿宋_GB2312" w:hAnsi="仿宋_GB2312" w:eastAsia="仿宋_GB2312"/>
          <w:b w:val="0"/>
          <w:sz w:val="32"/>
        </w:rPr>
        <w:t>五、《一般公共预算财政拨款支出决算表》</w:t>
      </w:r>
    </w:p>
    <w:p w14:paraId="1D043F03">
      <w:pPr>
        <w:spacing w:line="240" w:lineRule="auto"/>
        <w:ind w:firstLine="640"/>
        <w:jc w:val="both"/>
      </w:pPr>
      <w:r>
        <w:rPr>
          <w:rFonts w:ascii="仿宋_GB2312" w:hAnsi="仿宋_GB2312" w:eastAsia="仿宋_GB2312"/>
          <w:b w:val="0"/>
          <w:sz w:val="32"/>
        </w:rPr>
        <w:t>六、《一般公共预算财政拨款基本支出决算表》</w:t>
      </w:r>
    </w:p>
    <w:p w14:paraId="21480861">
      <w:pPr>
        <w:spacing w:line="240" w:lineRule="auto"/>
        <w:ind w:firstLine="640"/>
        <w:jc w:val="both"/>
      </w:pPr>
      <w:r>
        <w:rPr>
          <w:rFonts w:ascii="仿宋_GB2312" w:hAnsi="仿宋_GB2312" w:eastAsia="仿宋_GB2312"/>
          <w:b w:val="0"/>
          <w:sz w:val="32"/>
        </w:rPr>
        <w:t>七、《政府性基金预算财政拨款收入支出决算表》</w:t>
      </w:r>
    </w:p>
    <w:p w14:paraId="7698F84E">
      <w:pPr>
        <w:spacing w:line="240" w:lineRule="auto"/>
        <w:ind w:firstLine="640"/>
        <w:jc w:val="both"/>
      </w:pPr>
      <w:r>
        <w:rPr>
          <w:rFonts w:ascii="仿宋_GB2312" w:hAnsi="仿宋_GB2312" w:eastAsia="仿宋_GB2312"/>
          <w:b w:val="0"/>
          <w:sz w:val="32"/>
        </w:rPr>
        <w:t>八、《国有资本经营预算财政拨款收入支出决算表》</w:t>
      </w:r>
    </w:p>
    <w:p w14:paraId="7202F170">
      <w:pPr>
        <w:spacing w:line="240" w:lineRule="auto"/>
        <w:ind w:firstLine="640"/>
        <w:jc w:val="both"/>
      </w:pPr>
      <w:r>
        <w:rPr>
          <w:rFonts w:ascii="仿宋_GB2312" w:hAnsi="仿宋_GB2312" w:eastAsia="仿宋_GB2312"/>
          <w:b w:val="0"/>
          <w:sz w:val="32"/>
        </w:rPr>
        <w:t>九、《财政拨款“三公”经费支出决算表》</w:t>
      </w:r>
    </w:p>
    <w:p w14:paraId="30C4AD59">
      <w:pPr>
        <w:spacing w:line="240" w:lineRule="auto"/>
        <w:ind w:firstLine="640"/>
        <w:jc w:val="both"/>
      </w:pPr>
    </w:p>
    <w:p w14:paraId="62909626">
      <w:pPr>
        <w:spacing w:line="240" w:lineRule="auto"/>
        <w:ind w:firstLine="640"/>
        <w:jc w:val="both"/>
      </w:pPr>
    </w:p>
    <w:p w14:paraId="719DB2A5">
      <w:pPr>
        <w:spacing w:line="240" w:lineRule="auto"/>
        <w:ind w:firstLine="640"/>
        <w:jc w:val="both"/>
      </w:pPr>
    </w:p>
    <w:p w14:paraId="1A6369AF">
      <w:pPr>
        <w:spacing w:line="240" w:lineRule="auto"/>
        <w:ind w:firstLine="640"/>
        <w:jc w:val="both"/>
      </w:pPr>
    </w:p>
    <w:p w14:paraId="52622D3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E45544"/>
    <w:rsid w:val="4B4C0111"/>
    <w:rsid w:val="4BB23021"/>
    <w:rsid w:val="4DB209B0"/>
    <w:rsid w:val="4F3F074E"/>
    <w:rsid w:val="50DB5F45"/>
    <w:rsid w:val="52F92565"/>
    <w:rsid w:val="543D17CB"/>
    <w:rsid w:val="55DA564E"/>
    <w:rsid w:val="56E07045"/>
    <w:rsid w:val="583059FA"/>
    <w:rsid w:val="587E6212"/>
    <w:rsid w:val="5AFC5FB7"/>
    <w:rsid w:val="5AFC6609"/>
    <w:rsid w:val="5B7C75A0"/>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7100</Words>
  <Characters>8321</Characters>
  <Lines>0</Lines>
  <Paragraphs>0</Paragraphs>
  <TotalTime>6</TotalTime>
  <ScaleCrop>false</ScaleCrop>
  <LinksUpToDate>false</LinksUpToDate>
  <CharactersWithSpaces>8329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2025-09-12T11:31:30Z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