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岳普湖县色也克乡人民政府2024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30FC9B">
      <w:r>
        <w:br w:type="page"/>
      </w:r>
    </w:p>
    <w:p w14:paraId="3D27FF2C">
      <w:pPr>
        <w:spacing w:line="640" w:lineRule="exact"/>
        <w:jc w:val="center"/>
        <w:outlineLvl w:val="1"/>
      </w:pPr>
      <w:r>
        <w:rPr>
          <w:rFonts w:ascii="黑体" w:hAnsi="黑体" w:eastAsia="黑体"/>
          <w:sz w:val="32"/>
        </w:rPr>
        <w:t>第一部分 单位概况</w:t>
      </w:r>
    </w:p>
    <w:p w14:paraId="6AE42E1D">
      <w:pPr>
        <w:spacing w:line="640" w:lineRule="exact"/>
        <w:ind w:firstLine="640"/>
        <w:jc w:val="both"/>
        <w:outlineLvl w:val="2"/>
      </w:pPr>
      <w:r>
        <w:rPr>
          <w:rFonts w:ascii="黑体" w:hAnsi="黑体" w:eastAsia="黑体"/>
          <w:sz w:val="32"/>
        </w:rPr>
        <w:t>一、主要职能</w:t>
      </w:r>
    </w:p>
    <w:p w14:paraId="28C1588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3F0AE40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5D03C72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4C01DC4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11EF739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3B6DEBB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47E78799">
      <w:pPr>
        <w:spacing w:line="640" w:lineRule="exact"/>
        <w:ind w:firstLine="640"/>
        <w:jc w:val="both"/>
        <w:outlineLvl w:val="2"/>
      </w:pPr>
      <w:r>
        <w:rPr>
          <w:rFonts w:ascii="黑体" w:hAnsi="黑体" w:eastAsia="黑体"/>
          <w:sz w:val="32"/>
        </w:rPr>
        <w:t>二、机构设置及人员情况</w:t>
      </w:r>
    </w:p>
    <w:p w14:paraId="56D0BAB2">
      <w:pPr>
        <w:spacing w:line="580" w:lineRule="exact"/>
        <w:ind w:firstLine="640"/>
        <w:jc w:val="both"/>
      </w:pPr>
      <w:r>
        <w:rPr>
          <w:rFonts w:ascii="仿宋_GB2312" w:hAnsi="仿宋_GB2312" w:eastAsia="仿宋_GB2312"/>
          <w:sz w:val="32"/>
        </w:rPr>
        <w:t>岳普湖县色也克乡人民政府2024年度，实有人数136人，其中：在职人员115人，增加6人；离休人员0人，增加0人；退休人员21人,增加0人。</w:t>
      </w:r>
    </w:p>
    <w:p w14:paraId="519B15E7">
      <w:pPr>
        <w:spacing w:line="580" w:lineRule="exact"/>
        <w:ind w:firstLine="640"/>
        <w:jc w:val="both"/>
      </w:pPr>
      <w:r>
        <w:rPr>
          <w:rFonts w:ascii="仿宋_GB2312" w:hAnsi="仿宋_GB2312" w:eastAsia="仿宋_GB2312"/>
          <w:sz w:val="32"/>
        </w:rPr>
        <w:t>岳普湖县色也克乡人民政府无下属预算单位，下设5个科室，分别是：党政综合办公室、经济发展和财务办公室、党建工作办公室、社会事务办公室、综合执法办。</w:t>
      </w:r>
    </w:p>
    <w:p w14:paraId="121F1847">
      <w:r>
        <w:br w:type="page"/>
      </w:r>
    </w:p>
    <w:p w14:paraId="13E71861">
      <w:pPr>
        <w:spacing w:line="240" w:lineRule="auto"/>
        <w:jc w:val="center"/>
        <w:outlineLvl w:val="1"/>
      </w:pPr>
      <w:r>
        <w:rPr>
          <w:rFonts w:ascii="黑体" w:hAnsi="黑体" w:eastAsia="黑体"/>
          <w:sz w:val="32"/>
        </w:rPr>
        <w:t>第二部分 部门决算情况说明</w:t>
      </w:r>
    </w:p>
    <w:p w14:paraId="35D48669">
      <w:pPr>
        <w:spacing w:line="640" w:lineRule="exact"/>
        <w:ind w:firstLine="640"/>
        <w:jc w:val="both"/>
        <w:outlineLvl w:val="2"/>
      </w:pPr>
      <w:r>
        <w:rPr>
          <w:rFonts w:ascii="黑体" w:hAnsi="黑体" w:eastAsia="黑体"/>
          <w:sz w:val="32"/>
        </w:rPr>
        <w:t>一、收入支出决算总体情况说明</w:t>
      </w:r>
    </w:p>
    <w:p w14:paraId="38479D61">
      <w:pPr>
        <w:spacing w:line="580" w:lineRule="exact"/>
        <w:ind w:firstLine="640"/>
        <w:jc w:val="both"/>
      </w:pPr>
      <w:r>
        <w:rPr>
          <w:rFonts w:ascii="仿宋_GB2312" w:hAnsi="仿宋_GB2312" w:eastAsia="仿宋_GB2312"/>
          <w:b/>
          <w:sz w:val="32"/>
        </w:rPr>
        <w:t>2024年度收入总计3,679.51万元，</w:t>
      </w:r>
      <w:r>
        <w:rPr>
          <w:rFonts w:ascii="仿宋_GB2312" w:hAnsi="仿宋_GB2312" w:eastAsia="仿宋_GB2312"/>
          <w:b w:val="0"/>
          <w:sz w:val="32"/>
        </w:rPr>
        <w:t>其中：本年收入合计3,679.51万元，使用非财政拨款结余（含专用结余）0.00万元，年初结转和结余0.00万元。</w:t>
      </w:r>
    </w:p>
    <w:p w14:paraId="7236105D">
      <w:pPr>
        <w:spacing w:line="580" w:lineRule="exact"/>
        <w:ind w:firstLine="640"/>
        <w:jc w:val="both"/>
      </w:pPr>
      <w:r>
        <w:rPr>
          <w:rFonts w:ascii="仿宋_GB2312" w:hAnsi="仿宋_GB2312" w:eastAsia="仿宋_GB2312"/>
          <w:b/>
          <w:sz w:val="32"/>
        </w:rPr>
        <w:t>2024年度支出总计3,679.51万元，</w:t>
      </w:r>
      <w:r>
        <w:rPr>
          <w:rFonts w:ascii="仿宋_GB2312" w:hAnsi="仿宋_GB2312" w:eastAsia="仿宋_GB2312"/>
          <w:b w:val="0"/>
          <w:sz w:val="32"/>
        </w:rPr>
        <w:t>其中：本年支出合计3,679.51万元，结余分配0.00万元，年末结转和结余0.00万元。</w:t>
      </w:r>
    </w:p>
    <w:p w14:paraId="623572A8">
      <w:pPr>
        <w:spacing w:line="580" w:lineRule="exact"/>
        <w:ind w:firstLine="640"/>
        <w:jc w:val="both"/>
      </w:pPr>
      <w:r>
        <w:rPr>
          <w:rFonts w:ascii="仿宋_GB2312" w:hAnsi="仿宋_GB2312" w:eastAsia="仿宋_GB2312"/>
          <w:b w:val="0"/>
          <w:sz w:val="32"/>
        </w:rPr>
        <w:t>收入支出总体与上年相比，增加125.34万元，增长3.53%，主要原因是：本年10村乡村振兴项目、2024年岳普湖县文化沁润建设项目（传统节日送温暖·润民心走访慰问活动）等援疆项目资金增加。</w:t>
      </w:r>
    </w:p>
    <w:p w14:paraId="7FC32951">
      <w:pPr>
        <w:spacing w:line="640" w:lineRule="exact"/>
        <w:ind w:firstLine="640"/>
        <w:jc w:val="both"/>
        <w:outlineLvl w:val="2"/>
      </w:pPr>
      <w:r>
        <w:rPr>
          <w:rFonts w:ascii="黑体" w:hAnsi="黑体" w:eastAsia="黑体"/>
          <w:sz w:val="32"/>
        </w:rPr>
        <w:t>二、收入决算情况说明</w:t>
      </w:r>
    </w:p>
    <w:p w14:paraId="798C8AF1">
      <w:pPr>
        <w:spacing w:line="580" w:lineRule="exact"/>
        <w:ind w:firstLine="640"/>
        <w:jc w:val="both"/>
      </w:pPr>
      <w:r>
        <w:rPr>
          <w:rFonts w:ascii="仿宋_GB2312" w:hAnsi="仿宋_GB2312" w:eastAsia="仿宋_GB2312"/>
          <w:b/>
          <w:sz w:val="32"/>
        </w:rPr>
        <w:t>本年收入3,679.51万元，</w:t>
      </w:r>
      <w:r>
        <w:rPr>
          <w:rFonts w:ascii="仿宋_GB2312" w:hAnsi="仿宋_GB2312" w:eastAsia="仿宋_GB2312"/>
          <w:b w:val="0"/>
          <w:sz w:val="32"/>
        </w:rPr>
        <w:t>其中：财政拨款收入3,359.83万元，占91.31%；上级补助收入0.00万元，占0.00%；事业收入0.00万元，占0.00%；经营收入0.00万元，占0.00%；附属单位上缴收入0.00万元，占0.00%；其他收入319.67万元，占8.69%。</w:t>
      </w:r>
    </w:p>
    <w:p w14:paraId="6157F782">
      <w:pPr>
        <w:spacing w:line="640" w:lineRule="exact"/>
        <w:ind w:firstLine="640"/>
        <w:jc w:val="both"/>
        <w:outlineLvl w:val="2"/>
      </w:pPr>
      <w:r>
        <w:rPr>
          <w:rFonts w:ascii="黑体" w:hAnsi="黑体" w:eastAsia="黑体"/>
          <w:sz w:val="32"/>
        </w:rPr>
        <w:t>三、支出决算情况说明</w:t>
      </w:r>
    </w:p>
    <w:p w14:paraId="59266173">
      <w:pPr>
        <w:spacing w:line="580" w:lineRule="exact"/>
        <w:ind w:firstLine="640"/>
        <w:jc w:val="both"/>
      </w:pPr>
      <w:r>
        <w:rPr>
          <w:rFonts w:ascii="仿宋_GB2312" w:hAnsi="仿宋_GB2312" w:eastAsia="仿宋_GB2312"/>
          <w:b/>
          <w:sz w:val="32"/>
        </w:rPr>
        <w:t>本年支出3,679.51万元，</w:t>
      </w:r>
      <w:r>
        <w:rPr>
          <w:rFonts w:ascii="仿宋_GB2312" w:hAnsi="仿宋_GB2312" w:eastAsia="仿宋_GB2312"/>
          <w:b w:val="0"/>
          <w:sz w:val="32"/>
        </w:rPr>
        <w:t>其中：基本支出2,183.73万元，占59.35%；项目支出1,495.78万元，占40.65%；上缴上级支出0.00万元，占0.00%；经营支出0.00万元，占0.00%；对附属单位补助支出0.00万元，占0.00%。</w:t>
      </w:r>
    </w:p>
    <w:p w14:paraId="2B03FFA6">
      <w:pPr>
        <w:spacing w:line="640" w:lineRule="exact"/>
        <w:ind w:firstLine="640"/>
        <w:jc w:val="both"/>
        <w:outlineLvl w:val="2"/>
      </w:pPr>
      <w:r>
        <w:rPr>
          <w:rFonts w:ascii="黑体" w:hAnsi="黑体" w:eastAsia="黑体"/>
          <w:sz w:val="32"/>
        </w:rPr>
        <w:t>四、财政拨款收入支出决算总体情况说明</w:t>
      </w:r>
    </w:p>
    <w:p w14:paraId="2B6B02E7">
      <w:pPr>
        <w:spacing w:line="580" w:lineRule="exact"/>
        <w:ind w:firstLine="640"/>
        <w:jc w:val="both"/>
      </w:pPr>
      <w:r>
        <w:rPr>
          <w:rFonts w:ascii="仿宋_GB2312" w:hAnsi="仿宋_GB2312" w:eastAsia="仿宋_GB2312"/>
          <w:b/>
          <w:sz w:val="32"/>
        </w:rPr>
        <w:t>2024年度财政拨款收入总计3,359.83万元，</w:t>
      </w:r>
      <w:r>
        <w:rPr>
          <w:rFonts w:ascii="仿宋_GB2312" w:hAnsi="仿宋_GB2312" w:eastAsia="仿宋_GB2312"/>
          <w:b w:val="0"/>
          <w:sz w:val="32"/>
        </w:rPr>
        <w:t>其中：年初财政拨款结转和结余0.00万元，本年财政拨款收入3,359.83万元。</w:t>
      </w:r>
      <w:r>
        <w:rPr>
          <w:rFonts w:ascii="仿宋_GB2312" w:hAnsi="仿宋_GB2312" w:eastAsia="仿宋_GB2312"/>
          <w:b/>
          <w:sz w:val="32"/>
        </w:rPr>
        <w:t>财政拨款支出总计3,359.83万元，</w:t>
      </w:r>
      <w:r>
        <w:rPr>
          <w:rFonts w:ascii="仿宋_GB2312" w:hAnsi="仿宋_GB2312" w:eastAsia="仿宋_GB2312"/>
          <w:b w:val="0"/>
          <w:sz w:val="32"/>
        </w:rPr>
        <w:t>其中：年末财政拨款结转和结余0.00万元，本年财政拨款支出3,359.83万元。</w:t>
      </w:r>
    </w:p>
    <w:p w14:paraId="22B9801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减少15.20万元，下降0.45%，主要原因是：本年度对困难群众临时救助项目减少。</w:t>
      </w:r>
      <w:r>
        <w:rPr>
          <w:rFonts w:ascii="仿宋_GB2312" w:hAnsi="仿宋_GB2312" w:eastAsia="仿宋_GB2312"/>
          <w:b/>
          <w:sz w:val="32"/>
        </w:rPr>
        <w:t>与年初预算相比，</w:t>
      </w:r>
      <w:r>
        <w:rPr>
          <w:rFonts w:ascii="仿宋_GB2312" w:hAnsi="仿宋_GB2312" w:eastAsia="仿宋_GB2312"/>
          <w:b w:val="0"/>
          <w:sz w:val="32"/>
        </w:rPr>
        <w:t>年初预算数2,367.95万元，决算数3,359.83万元，预决算差异率41.89%，主要原因是：本年在职人员工资调薪，工资、社保、公积金等相关人员经费增加，年中追加人员经费；年中追加岳普湖县乡村振兴重点示范村建设项目经费，导致预决算存在差异。</w:t>
      </w:r>
    </w:p>
    <w:p w14:paraId="076A4CF1">
      <w:pPr>
        <w:spacing w:line="640" w:lineRule="exact"/>
        <w:ind w:firstLine="640"/>
        <w:jc w:val="both"/>
        <w:outlineLvl w:val="2"/>
      </w:pPr>
      <w:r>
        <w:rPr>
          <w:rFonts w:ascii="黑体" w:hAnsi="黑体" w:eastAsia="黑体"/>
          <w:sz w:val="32"/>
        </w:rPr>
        <w:t>五、一般公共预算财政拨款支出决算情况说明</w:t>
      </w:r>
    </w:p>
    <w:p w14:paraId="1B5E5F6B">
      <w:pPr>
        <w:spacing w:line="640" w:lineRule="exact"/>
        <w:ind w:firstLine="640"/>
        <w:jc w:val="both"/>
        <w:outlineLvl w:val="3"/>
      </w:pPr>
      <w:r>
        <w:rPr>
          <w:rFonts w:ascii="楷体_GB2312" w:hAnsi="楷体_GB2312" w:eastAsia="楷体_GB2312"/>
          <w:b/>
          <w:sz w:val="32"/>
        </w:rPr>
        <w:t>（一）一般公共预算财政拨款支出决算总体情况</w:t>
      </w:r>
    </w:p>
    <w:p w14:paraId="52965E8C">
      <w:pPr>
        <w:spacing w:line="580" w:lineRule="exact"/>
        <w:ind w:firstLine="640"/>
        <w:jc w:val="both"/>
      </w:pPr>
      <w:r>
        <w:rPr>
          <w:rFonts w:ascii="仿宋_GB2312" w:hAnsi="仿宋_GB2312" w:eastAsia="仿宋_GB2312"/>
          <w:b/>
          <w:sz w:val="32"/>
        </w:rPr>
        <w:t>2024年度一般公共预算财政拨款支出3,238.28万元，</w:t>
      </w:r>
      <w:r>
        <w:rPr>
          <w:rFonts w:ascii="仿宋_GB2312" w:hAnsi="仿宋_GB2312" w:eastAsia="仿宋_GB2312"/>
          <w:b w:val="0"/>
          <w:sz w:val="32"/>
        </w:rPr>
        <w:t>占本年支出合计的88.01%。</w:t>
      </w:r>
      <w:r>
        <w:rPr>
          <w:rFonts w:ascii="仿宋_GB2312" w:hAnsi="仿宋_GB2312" w:eastAsia="仿宋_GB2312"/>
          <w:b/>
          <w:sz w:val="32"/>
        </w:rPr>
        <w:t>与上年相比，</w:t>
      </w:r>
      <w:r>
        <w:rPr>
          <w:rFonts w:ascii="仿宋_GB2312" w:hAnsi="仿宋_GB2312" w:eastAsia="仿宋_GB2312"/>
          <w:b w:val="0"/>
          <w:sz w:val="32"/>
        </w:rPr>
        <w:t>减少136.75万元，下降4.05%，主要原因是：本年度对困难群众临时救助项目减少。</w:t>
      </w:r>
      <w:r>
        <w:rPr>
          <w:rFonts w:ascii="仿宋_GB2312" w:hAnsi="仿宋_GB2312" w:eastAsia="仿宋_GB2312"/>
          <w:b/>
          <w:sz w:val="32"/>
        </w:rPr>
        <w:t>与年初预算相比,</w:t>
      </w:r>
      <w:r>
        <w:rPr>
          <w:rFonts w:ascii="仿宋_GB2312" w:hAnsi="仿宋_GB2312" w:eastAsia="仿宋_GB2312"/>
          <w:b w:val="0"/>
          <w:sz w:val="32"/>
        </w:rPr>
        <w:t>年初预算数2,349.45万元，决算数3,238.28万元，预决算差异率37.83%，主要原因是：本年在职人员工资调薪，工资、社保、公积金等相关人员经费增加，年中追加人员经费；年中追加岳普湖县乡村振兴重点示范村建设项目经费，导致预决算存在差异。</w:t>
      </w:r>
    </w:p>
    <w:p w14:paraId="1D2A0D47">
      <w:pPr>
        <w:spacing w:line="640" w:lineRule="exact"/>
        <w:ind w:firstLine="640"/>
        <w:jc w:val="both"/>
        <w:outlineLvl w:val="3"/>
      </w:pPr>
      <w:r>
        <w:rPr>
          <w:rFonts w:ascii="楷体_GB2312" w:hAnsi="楷体_GB2312" w:eastAsia="楷体_GB2312"/>
          <w:b/>
          <w:sz w:val="32"/>
        </w:rPr>
        <w:t>（二）一般公共预算财政拨款支出决算结构情况</w:t>
      </w:r>
    </w:p>
    <w:p w14:paraId="7DCA89D2">
      <w:pPr>
        <w:spacing w:line="580" w:lineRule="exact"/>
        <w:ind w:firstLine="640"/>
        <w:jc w:val="both"/>
      </w:pPr>
      <w:r>
        <w:rPr>
          <w:rFonts w:ascii="仿宋_GB2312" w:hAnsi="仿宋_GB2312" w:eastAsia="仿宋_GB2312"/>
          <w:b w:val="0"/>
          <w:sz w:val="32"/>
        </w:rPr>
        <w:t>1.一般公共服务支出(类)1,849.78万元,占57.12%。</w:t>
      </w:r>
    </w:p>
    <w:p w14:paraId="04F6C2DE">
      <w:pPr>
        <w:spacing w:line="580" w:lineRule="exact"/>
        <w:ind w:firstLine="640"/>
        <w:jc w:val="both"/>
      </w:pPr>
      <w:r>
        <w:rPr>
          <w:rFonts w:ascii="仿宋_GB2312" w:hAnsi="仿宋_GB2312" w:eastAsia="仿宋_GB2312"/>
          <w:b w:val="0"/>
          <w:sz w:val="32"/>
        </w:rPr>
        <w:t>2.文化旅游体育与传媒支出(类)39.72万元,占1.23%。</w:t>
      </w:r>
    </w:p>
    <w:p w14:paraId="77A8E870">
      <w:pPr>
        <w:spacing w:line="580" w:lineRule="exact"/>
        <w:ind w:firstLine="640"/>
        <w:jc w:val="both"/>
      </w:pPr>
      <w:r>
        <w:rPr>
          <w:rFonts w:ascii="仿宋_GB2312" w:hAnsi="仿宋_GB2312" w:eastAsia="仿宋_GB2312"/>
          <w:b w:val="0"/>
          <w:sz w:val="32"/>
        </w:rPr>
        <w:t>3.社会保障和就业支出(类)226.39万元,占6.99%。</w:t>
      </w:r>
    </w:p>
    <w:p w14:paraId="0DE9C4BE">
      <w:pPr>
        <w:spacing w:line="580" w:lineRule="exact"/>
        <w:ind w:firstLine="640"/>
        <w:jc w:val="both"/>
      </w:pPr>
      <w:r>
        <w:rPr>
          <w:rFonts w:ascii="仿宋_GB2312" w:hAnsi="仿宋_GB2312" w:eastAsia="仿宋_GB2312"/>
          <w:b w:val="0"/>
          <w:sz w:val="32"/>
        </w:rPr>
        <w:t>4.卫生健康支出(类)87.84万元,占2.71%。</w:t>
      </w:r>
    </w:p>
    <w:p w14:paraId="11F5FEC7">
      <w:pPr>
        <w:spacing w:line="580" w:lineRule="exact"/>
        <w:ind w:firstLine="640"/>
        <w:jc w:val="both"/>
      </w:pPr>
      <w:r>
        <w:rPr>
          <w:rFonts w:ascii="仿宋_GB2312" w:hAnsi="仿宋_GB2312" w:eastAsia="仿宋_GB2312"/>
          <w:b w:val="0"/>
          <w:sz w:val="32"/>
        </w:rPr>
        <w:t>5.节能环保支出(类)8.91万元,占0.28%。</w:t>
      </w:r>
    </w:p>
    <w:p w14:paraId="26074C64">
      <w:pPr>
        <w:spacing w:line="580" w:lineRule="exact"/>
        <w:ind w:firstLine="640"/>
        <w:jc w:val="both"/>
      </w:pPr>
      <w:r>
        <w:rPr>
          <w:rFonts w:ascii="仿宋_GB2312" w:hAnsi="仿宋_GB2312" w:eastAsia="仿宋_GB2312"/>
          <w:b w:val="0"/>
          <w:sz w:val="32"/>
        </w:rPr>
        <w:t>6.农林水支出(类)880.86万元,占27.20%。</w:t>
      </w:r>
    </w:p>
    <w:p w14:paraId="116E09C1">
      <w:pPr>
        <w:spacing w:line="580" w:lineRule="exact"/>
        <w:ind w:firstLine="640"/>
        <w:jc w:val="both"/>
      </w:pPr>
      <w:r>
        <w:rPr>
          <w:rFonts w:ascii="仿宋_GB2312" w:hAnsi="仿宋_GB2312" w:eastAsia="仿宋_GB2312"/>
          <w:b w:val="0"/>
          <w:sz w:val="32"/>
        </w:rPr>
        <w:t>7.住房保障支出(类)144.79万元,占4.47%。</w:t>
      </w:r>
    </w:p>
    <w:p w14:paraId="673B3D8E">
      <w:pPr>
        <w:spacing w:line="640" w:lineRule="exact"/>
        <w:ind w:firstLine="640"/>
        <w:jc w:val="both"/>
        <w:outlineLvl w:val="3"/>
      </w:pPr>
      <w:r>
        <w:rPr>
          <w:rFonts w:ascii="楷体_GB2312" w:hAnsi="楷体_GB2312" w:eastAsia="楷体_GB2312"/>
          <w:b/>
          <w:sz w:val="32"/>
        </w:rPr>
        <w:t>（三）一般公共预算财政拨款支出决算具体情况</w:t>
      </w:r>
    </w:p>
    <w:p w14:paraId="588CF247">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1.17万元，下降100.00%,主要原因是：本年度科目调整，2023年自治区基层人大补助经费上年度在代表工作科目列支，本年度调整至其他人大事务支出科目，经费较上年减少。</w:t>
      </w:r>
    </w:p>
    <w:p w14:paraId="59C5709E">
      <w:pPr>
        <w:spacing w:line="580" w:lineRule="exact"/>
        <w:ind w:firstLine="640"/>
        <w:jc w:val="both"/>
      </w:pPr>
      <w:r>
        <w:rPr>
          <w:rFonts w:ascii="仿宋_GB2312" w:hAnsi="仿宋_GB2312" w:eastAsia="仿宋_GB2312"/>
          <w:b w:val="0"/>
          <w:sz w:val="32"/>
        </w:rPr>
        <w:t>2.一般公共服务支出(类)人大事务(款)其他人大事务支出(项):支出决算数为0.50万元，比上年决算增加0.50万元，增长100.00%,主要原因是：本年度科目调整，2023年自治区基层人大补助经费上年度在代表工作科目列支，本年度调整至其他人大事务支出科目，经费较上年增加。</w:t>
      </w:r>
    </w:p>
    <w:p w14:paraId="5E00B4D4">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1,565.71万元，比上年决算增加50.23万元，增长3.31%,主要原因是：本年新增在职人员，人员经费增加，导致经费较上年有所增加。</w:t>
      </w:r>
    </w:p>
    <w:p w14:paraId="16A1BF6B">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4.一般公共服务支出(类)政府办公厅（室）及相关机构事务(款)一般行政管理事务(项):支出决算数为46.94万元，比上年决算减少19.52万元，下降29.37%,主要原因是：本年度减少2019年光伏项目维修费。</w:t>
      </w:r>
    </w:p>
    <w:p w14:paraId="5ACC3862">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1.84万元，下降100.00%,主要原因是：本年度科目调整，2024年乡镇纪检监察机关转移支付项目（装备经费）、2024年乡镇纪检监察机关转移支付项目（业务经费）项目经费上年度在行政运行列支本年调整至其他纪检监察事务支出科目列支，导致经费较上年减少。</w:t>
      </w:r>
    </w:p>
    <w:p w14:paraId="130B29AB">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度科目调整，2024年乡镇纪检监察机关转移支付项目（装备经费）、2024年乡镇纪检监察机关转移支付项目（业务经费）项目经费上年度在行政运行列支本年调整至其他纪检监察事务支出科目列支，导致经费较上年增加。</w:t>
      </w:r>
    </w:p>
    <w:p w14:paraId="6DEB0464">
      <w:pPr>
        <w:spacing w:line="580" w:lineRule="exact"/>
        <w:ind w:firstLine="640"/>
        <w:jc w:val="both"/>
      </w:pPr>
      <w:r>
        <w:rPr>
          <w:rFonts w:ascii="仿宋_GB2312" w:hAnsi="仿宋_GB2312" w:eastAsia="仿宋_GB2312"/>
          <w:b w:val="0"/>
          <w:sz w:val="32"/>
        </w:rPr>
        <w:t>7.一般公共服务支出(类)组织事务(款)其他组织事务支出(项):支出决算数为230.63万元，比上年决算增加6.69万元，增长2.99%,主要原因是：本年度2024年村级运转经费、2024年为民办实事经费增加。</w:t>
      </w:r>
    </w:p>
    <w:p w14:paraId="4595B0BA">
      <w:pPr>
        <w:spacing w:line="580" w:lineRule="exact"/>
        <w:ind w:firstLine="640"/>
        <w:jc w:val="both"/>
      </w:pPr>
      <w:r>
        <w:rPr>
          <w:rFonts w:ascii="仿宋_GB2312" w:hAnsi="仿宋_GB2312" w:eastAsia="仿宋_GB2312"/>
          <w:b w:val="0"/>
          <w:sz w:val="32"/>
        </w:rPr>
        <w:t>8.一般公共服务支出(类)统战事务(款)宗教事务(项):支出决算数为4.00万元，比上年决算增加1.00万元，增长33.33%,主要原因是：本年度2024年的ZCGS委员会工作经费增加。</w:t>
      </w:r>
    </w:p>
    <w:p w14:paraId="7EE96F97">
      <w:pPr>
        <w:spacing w:line="580" w:lineRule="exact"/>
        <w:ind w:firstLine="640"/>
        <w:jc w:val="both"/>
      </w:pPr>
      <w:r>
        <w:rPr>
          <w:rFonts w:ascii="仿宋_GB2312" w:hAnsi="仿宋_GB2312" w:eastAsia="仿宋_GB2312"/>
          <w:b w:val="0"/>
          <w:sz w:val="32"/>
        </w:rPr>
        <w:t>9.一般公共服务支出(类)统战事务(款)其他统战事务支出(项):支出决算数为0.00万元，比上年决算减少5.00万元，下降100.00%,主要原因是：本年度2022年度的ZCGS委员会工作经费减少。</w:t>
      </w:r>
    </w:p>
    <w:p w14:paraId="071498DD">
      <w:pPr>
        <w:spacing w:line="580" w:lineRule="exact"/>
        <w:ind w:firstLine="640"/>
        <w:jc w:val="both"/>
      </w:pPr>
      <w:r>
        <w:rPr>
          <w:rFonts w:ascii="仿宋_GB2312" w:hAnsi="仿宋_GB2312" w:eastAsia="仿宋_GB2312"/>
          <w:b w:val="0"/>
          <w:sz w:val="32"/>
        </w:rPr>
        <w:t>10.文化旅游体育与传媒支出(类)文化和旅游(款)其他文化和旅游支出(项):支出决算数为39.72万元，比上年决算增加21.00万元，增长112.18%,主要原因是：本年度中央和自治区补助地方美术馆、公共图书馆、文化馆(站）免费开放补助项目支出增加。</w:t>
      </w:r>
    </w:p>
    <w:p w14:paraId="456A96D9">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11.文化旅游体育与传媒支出(类)其他文化旅游体育与传媒支出(款)其他文化旅游体育与传媒支出(项):支出决算数为0.00万元，比上年决算减少4.32万元，下降100.00%,主要原因是：本年减少文体活动经费。</w:t>
      </w:r>
    </w:p>
    <w:p w14:paraId="66777402">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12.社会保障和就业支出(类)行政事业单位养老支出(款)行政单位离退休(项):支出决算数为27.35万元，比上年决算增加4.63万元，增长20.38%,主要原因是：本年补发退休人员绩效，导致退休费较上年增加。</w:t>
      </w:r>
    </w:p>
    <w:p w14:paraId="68740F29">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172.86万元，比上年决算增加16.65万元，增长10.66%,主要原因是：本年在职人员增加，养老保险缴费较上年增加。</w:t>
      </w:r>
    </w:p>
    <w:p w14:paraId="4350914F">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26.19万元，比上年决算增加12.46万元，增长90.75%,主要原因是：本年度调出人员较上年增加，职业年金缴费支出增加。</w:t>
      </w:r>
    </w:p>
    <w:p w14:paraId="450538C1">
      <w:pPr>
        <w:spacing w:line="580" w:lineRule="exact"/>
        <w:ind w:firstLine="640"/>
        <w:jc w:val="both"/>
      </w:pPr>
      <w:r>
        <w:rPr>
          <w:rFonts w:ascii="仿宋_GB2312" w:hAnsi="仿宋_GB2312" w:eastAsia="仿宋_GB2312"/>
          <w:b w:val="0"/>
          <w:sz w:val="32"/>
        </w:rPr>
        <w:t>15.社会保障和就业支出(类)临时救助(款)临时救助支出(项):支出决算数为0.00万元，比上年决算减少288.63万元，下降100.00%,主要原因是：本年度对困难群众临时救助项目减少。</w:t>
      </w:r>
    </w:p>
    <w:p w14:paraId="03F8506D">
      <w:pPr>
        <w:spacing w:line="580" w:lineRule="exact"/>
        <w:ind w:firstLine="640"/>
        <w:jc w:val="both"/>
      </w:pPr>
      <w:r>
        <w:rPr>
          <w:rFonts w:ascii="仿宋_GB2312" w:hAnsi="仿宋_GB2312" w:eastAsia="仿宋_GB2312"/>
          <w:b w:val="0"/>
          <w:sz w:val="32"/>
        </w:rPr>
        <w:t>16.卫生健康支出(类)行政事业单位医疗(款)行政单位医疗(项):支出决算数为73.46万元，比上年决算增加3.14万元，增长4.47%,主要原因是：本年在职人员增加，行政单位医疗支出较上年增加。</w:t>
      </w:r>
    </w:p>
    <w:p w14:paraId="232014ED">
      <w:pPr>
        <w:spacing w:line="580" w:lineRule="exact"/>
        <w:ind w:firstLine="640"/>
        <w:jc w:val="both"/>
      </w:pPr>
      <w:r>
        <w:rPr>
          <w:rFonts w:ascii="仿宋_GB2312" w:hAnsi="仿宋_GB2312" w:eastAsia="仿宋_GB2312"/>
          <w:b w:val="0"/>
          <w:sz w:val="32"/>
        </w:rPr>
        <w:t>17.卫生健康支出(类)行政事业单位医疗(款)公务员医疗补助(项):支出决算数为14.37万元，比上年决算减少6.10万元，下降29.80%,主要原因是：因退休人员医疗保险制度改革，退休人员基本医疗不再由单位缴纳，导致经费较上年减少。</w:t>
      </w:r>
    </w:p>
    <w:p w14:paraId="4A28CB14">
      <w:pPr>
        <w:spacing w:line="580" w:lineRule="exact"/>
        <w:ind w:firstLine="640"/>
        <w:jc w:val="both"/>
      </w:pPr>
      <w:r>
        <w:rPr>
          <w:rFonts w:ascii="仿宋_GB2312" w:hAnsi="仿宋_GB2312" w:eastAsia="仿宋_GB2312"/>
          <w:b w:val="0"/>
          <w:sz w:val="32"/>
        </w:rPr>
        <w:t>18.节能环保支出(类)森林保护修复(款)森林管护(项):支出决算数为8.91万元，比上年决算减少1.56万元，下降14.90%,主要原因是：本年度岳普湖县森林资源培育项目预算经费减少。</w:t>
      </w:r>
    </w:p>
    <w:p w14:paraId="5F11554E">
      <w:pPr>
        <w:spacing w:line="580" w:lineRule="exact"/>
        <w:ind w:firstLine="640"/>
        <w:jc w:val="both"/>
      </w:pPr>
      <w:r>
        <w:rPr>
          <w:rFonts w:ascii="仿宋_GB2312" w:hAnsi="仿宋_GB2312" w:eastAsia="仿宋_GB2312"/>
          <w:b w:val="0"/>
          <w:sz w:val="32"/>
        </w:rPr>
        <w:t>19.城乡社区支出(类)城乡社区公共设施(款)其他城乡社区公共设施支出(项):支出决算数为0.00万元，比上年决算减少30.00万元，下降100.00%,主要原因是：本年度减少岳普湖县2022年第三批自治区预算内投资资金项目。</w:t>
      </w:r>
    </w:p>
    <w:p w14:paraId="76ED6103">
      <w:pPr>
        <w:spacing w:line="580" w:lineRule="exact"/>
        <w:ind w:firstLine="640"/>
        <w:jc w:val="both"/>
      </w:pPr>
      <w:r>
        <w:rPr>
          <w:rFonts w:ascii="仿宋_GB2312" w:hAnsi="仿宋_GB2312" w:eastAsia="仿宋_GB2312"/>
          <w:b w:val="0"/>
          <w:sz w:val="32"/>
        </w:rPr>
        <w:t>20.农林水支出(类)林业和草原(款)行政运行(项):支出决算数为159.00万元，比上年决算增加159.00万元，增长100.00%,主要原因是：本年新增在职人员，人员经费增加，导致经费较上年有所增加。</w:t>
      </w:r>
    </w:p>
    <w:p w14:paraId="594D068F">
      <w:pPr>
        <w:spacing w:line="580" w:lineRule="exact"/>
        <w:ind w:firstLine="640"/>
        <w:jc w:val="both"/>
      </w:pPr>
      <w:r>
        <w:rPr>
          <w:rFonts w:ascii="仿宋_GB2312" w:hAnsi="仿宋_GB2312" w:eastAsia="仿宋_GB2312"/>
          <w:b w:val="0"/>
          <w:sz w:val="32"/>
        </w:rPr>
        <w:t>21.农林水支出(类)林业和草原(款)其他林业和草原支出(项):支出决算数为38.13万元，比上年决算增加38.13万元，增长100.00%,主要原因是：本年度增加2024年自治区林草专项资金项目。</w:t>
      </w:r>
    </w:p>
    <w:p w14:paraId="269E40D0">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22.农林水支出(类)巩固脱贫攻坚成果衔接乡村振兴(款)农村基础设施建设(项):支出决算数为10.96万元，比上年决算减少682.91万元，下降98.42%,主要原因是：本年度减少岳普湖县乡村振兴示范村建设项目。</w:t>
      </w:r>
    </w:p>
    <w:p w14:paraId="14A81DD8">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470.85万元，比上年决算增加470.85万元，增长100.00%,主要原因是：本年度增加岳普湖县色也克乡农田渠系2024年中央财政以工代赈项目，色也克乡色也克村大棚提升改造建设项目，色也克乡生产道路建设项目。</w:t>
      </w:r>
    </w:p>
    <w:p w14:paraId="5AFD9713">
      <w:pPr>
        <w:spacing w:line="580" w:lineRule="exact"/>
        <w:ind w:firstLine="640"/>
        <w:jc w:val="both"/>
      </w:pPr>
      <w:r>
        <w:rPr>
          <w:rFonts w:ascii="仿宋_GB2312" w:hAnsi="仿宋_GB2312" w:eastAsia="仿宋_GB2312"/>
          <w:b w:val="0"/>
          <w:sz w:val="32"/>
        </w:rPr>
        <w:t>24.农林水支出(类)农村综合改革(款)对村级公益事业建设的补助(项):支出决算数为99.97万元，比上年决算增加99.97万元，增长100.00%,主要原因是：本年度增加2024年中央农村综合改革转移支付项目（央塔克勒克村），2024年中央农村综合改革转移支付项目（英阿瓦提村）。</w:t>
      </w:r>
    </w:p>
    <w:p w14:paraId="0672C3B3">
      <w:pPr>
        <w:spacing w:line="580" w:lineRule="exact"/>
        <w:ind w:firstLine="640"/>
        <w:jc w:val="both"/>
      </w:pPr>
      <w:r>
        <w:rPr>
          <w:rFonts w:ascii="仿宋_GB2312" w:hAnsi="仿宋_GB2312" w:eastAsia="仿宋_GB2312"/>
          <w:b w:val="0"/>
          <w:sz w:val="32"/>
        </w:rPr>
        <w:t>25.农林水支出(类)农村综合改革(款)其他农村综合改革支出(项):支出决算数为101.94万元，比上年决算增加0.62万元，增长0.61%,主要原因是：本年度2024年度国有农林牧场农村税费改革转移支付项目经费增加。</w:t>
      </w:r>
    </w:p>
    <w:p w14:paraId="08D390F7">
      <w:pPr>
        <w:spacing w:line="580" w:lineRule="exact"/>
        <w:ind w:firstLine="640"/>
        <w:jc w:val="both"/>
      </w:pPr>
      <w:r>
        <w:rPr>
          <w:rFonts w:ascii="仿宋_GB2312" w:hAnsi="仿宋_GB2312" w:eastAsia="仿宋_GB2312"/>
          <w:b w:val="0"/>
          <w:sz w:val="32"/>
        </w:rPr>
        <w:t>26.住房保障支出(类)住房改革支出(款)住房公积金(项):支出决算数为144.79万元，比上年决算增加20.61万元，增长16.60%,主要原因是：本年在职人员工资基数调增，公积金缴费基数上涨，相应支出增加。</w:t>
      </w:r>
    </w:p>
    <w:p w14:paraId="637F4969">
      <w:pPr>
        <w:spacing w:line="580" w:lineRule="exact"/>
        <w:ind w:firstLine="640"/>
        <w:jc w:val="both"/>
      </w:pPr>
      <w:r>
        <w:rPr>
          <w:rFonts w:ascii="仿宋_GB2312" w:hAnsi="仿宋_GB2312" w:eastAsia="仿宋_GB2312"/>
          <w:b w:val="0"/>
          <w:sz w:val="32"/>
        </w:rPr>
        <w:t>27.其他支出(类)其他支出(款)其他支出(项):支出决算数为0.00万元，比上年决算减少1.69万元，下降100.00%,主要原因是：本年度未安排2022年工作队为民办实事经费资金。</w:t>
      </w:r>
    </w:p>
    <w:p w14:paraId="0BDE3FDE">
      <w:pPr>
        <w:spacing w:line="640" w:lineRule="exact"/>
        <w:ind w:firstLine="640"/>
        <w:jc w:val="both"/>
        <w:outlineLvl w:val="2"/>
      </w:pPr>
      <w:r>
        <w:rPr>
          <w:rFonts w:ascii="黑体" w:hAnsi="黑体" w:eastAsia="黑体"/>
          <w:sz w:val="32"/>
        </w:rPr>
        <w:t>六、一般公共预算财政拨款基本支出决算情况说明</w:t>
      </w:r>
    </w:p>
    <w:p w14:paraId="765B6C83">
      <w:pPr>
        <w:spacing w:line="580" w:lineRule="exact"/>
        <w:ind w:firstLine="640"/>
        <w:jc w:val="both"/>
      </w:pPr>
      <w:r>
        <w:rPr>
          <w:rFonts w:ascii="仿宋_GB2312" w:hAnsi="仿宋_GB2312" w:eastAsia="仿宋_GB2312"/>
          <w:b w:val="0"/>
          <w:sz w:val="32"/>
        </w:rPr>
        <w:t>2024年度一般公共预算财政拨款基本支出2,183.73万元，其中：</w:t>
      </w:r>
      <w:r>
        <w:rPr>
          <w:rFonts w:ascii="仿宋_GB2312" w:hAnsi="仿宋_GB2312" w:eastAsia="仿宋_GB2312"/>
          <w:b/>
          <w:sz w:val="32"/>
        </w:rPr>
        <w:t>人员经费1,975.39万元，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1036D32D">
      <w:pPr>
        <w:spacing w:line="580" w:lineRule="exact"/>
        <w:ind w:firstLine="640"/>
        <w:jc w:val="both"/>
      </w:pPr>
      <w:r>
        <w:rPr>
          <w:rFonts w:ascii="仿宋_GB2312" w:hAnsi="仿宋_GB2312" w:eastAsia="仿宋_GB2312"/>
          <w:b/>
          <w:sz w:val="32"/>
        </w:rPr>
        <w:t>公用经费208.34万元，</w:t>
      </w:r>
      <w:r>
        <w:rPr>
          <w:rFonts w:ascii="仿宋_GB2312" w:hAnsi="仿宋_GB2312" w:eastAsia="仿宋_GB2312"/>
          <w:b w:val="0"/>
          <w:sz w:val="32"/>
        </w:rPr>
        <w:t>包括：办公费、印刷费、水费、电费、邮电费、物业管理费、维修（护）费、专用材料费、劳务费、公务用车运行维护费、其他交通费用、其他商品和服务支出、办公设备购置、公务用车购置。</w:t>
      </w:r>
    </w:p>
    <w:p w14:paraId="67EE018C">
      <w:pPr>
        <w:spacing w:line="640" w:lineRule="exact"/>
        <w:ind w:firstLine="640"/>
        <w:jc w:val="both"/>
        <w:outlineLvl w:val="2"/>
      </w:pPr>
      <w:r>
        <w:rPr>
          <w:rFonts w:ascii="黑体" w:hAnsi="黑体" w:eastAsia="黑体"/>
          <w:sz w:val="32"/>
        </w:rPr>
        <w:t>七、政府性基金预算财政拨款收入支出决算情况说明</w:t>
      </w:r>
    </w:p>
    <w:p w14:paraId="2CF04B07">
      <w:pPr>
        <w:spacing w:line="580" w:lineRule="exact"/>
        <w:ind w:firstLine="640"/>
        <w:jc w:val="both"/>
      </w:pPr>
      <w:r>
        <w:rPr>
          <w:rFonts w:ascii="仿宋_GB2312" w:hAnsi="仿宋_GB2312" w:eastAsia="仿宋_GB2312"/>
          <w:b/>
          <w:sz w:val="32"/>
        </w:rPr>
        <w:t>2024年度政府性基金预算财政拨款收入总计121.55万元，</w:t>
      </w:r>
      <w:r>
        <w:rPr>
          <w:rFonts w:ascii="仿宋_GB2312" w:hAnsi="仿宋_GB2312" w:eastAsia="仿宋_GB2312"/>
          <w:b w:val="0"/>
          <w:sz w:val="32"/>
        </w:rPr>
        <w:t>其中：年初结转和结余0.00万元，本年收入121.55万元。</w:t>
      </w:r>
      <w:r>
        <w:rPr>
          <w:rFonts w:ascii="仿宋_GB2312" w:hAnsi="仿宋_GB2312" w:eastAsia="仿宋_GB2312"/>
          <w:b/>
          <w:sz w:val="32"/>
        </w:rPr>
        <w:t>政府性基金预算财政拨款支出总计121.55万元，</w:t>
      </w:r>
      <w:r>
        <w:rPr>
          <w:rFonts w:ascii="仿宋_GB2312" w:hAnsi="仿宋_GB2312" w:eastAsia="仿宋_GB2312"/>
          <w:b w:val="0"/>
          <w:sz w:val="32"/>
        </w:rPr>
        <w:t>其中：年末结转和结余0.00万元，本年支出121.55万元。</w:t>
      </w:r>
    </w:p>
    <w:p w14:paraId="749A06F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增加121.55万元，增长100.00%，主要原因是：本年增加G219线国道建设土地补偿款，福利彩票公益金支持社会组织参与基层社会治理，2023年彩票公益金支持体育事业发展等项目。</w:t>
      </w:r>
      <w:r>
        <w:rPr>
          <w:rFonts w:ascii="仿宋_GB2312" w:hAnsi="仿宋_GB2312" w:eastAsia="仿宋_GB2312"/>
          <w:b/>
          <w:sz w:val="32"/>
        </w:rPr>
        <w:t>与年初预算相比，</w:t>
      </w:r>
      <w:r>
        <w:rPr>
          <w:rFonts w:ascii="仿宋_GB2312" w:hAnsi="仿宋_GB2312" w:eastAsia="仿宋_GB2312"/>
          <w:b w:val="0"/>
          <w:sz w:val="32"/>
        </w:rPr>
        <w:t>年初预算数18.50万元，决算数121.55万元，预决算差异率557.03%，主要原因是：年中追加G219线国道建设土地补偿款，福利彩票公益金支持社会组织参与基层社会治理，2023年彩票公益金支持体育事业发展等项目，导致预决算存在差异。</w:t>
      </w:r>
    </w:p>
    <w:p w14:paraId="6FF15A09">
      <w:pPr>
        <w:spacing w:line="580" w:lineRule="exact"/>
        <w:ind w:firstLine="640"/>
        <w:jc w:val="both"/>
      </w:pPr>
      <w:r>
        <w:rPr>
          <w:rFonts w:ascii="仿宋_GB2312" w:hAnsi="仿宋_GB2312" w:eastAsia="仿宋_GB2312"/>
          <w:b w:val="0"/>
          <w:sz w:val="32"/>
        </w:rPr>
        <w:t>政府性基金预算财政拨款支出121.55万元。</w:t>
      </w:r>
    </w:p>
    <w:p w14:paraId="3439917D">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1.城乡社区支出(类)国有土地使用权出让收入安排的支出(款)农业农村生态环境支出(项):支出决算数为103.05万元，比上年决算增加103.05万元，增长100.00%,主要原因是：本年度增加G219线国道建设土地补偿款项目。</w:t>
      </w:r>
    </w:p>
    <w:p w14:paraId="6E12DBB1">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16.00万元，比上年决算增加16.00万元，增长100.00%,主要原因是：本年度增加福利彩票公益金支持社会组织参与基层社会治理项目。</w:t>
      </w:r>
    </w:p>
    <w:p w14:paraId="201A2E1C">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3.其他支出(类)彩票公益金安排的支出(款)用于体育事业的彩票公益金支出(项):支出决算数为2.50万元，比上年决算增加2.50万元，增长100.00%,主要原因是：本年度增加2023年彩票公益金支持体育事业发展项目。</w:t>
      </w:r>
    </w:p>
    <w:p w14:paraId="16AC32C9">
      <w:pPr>
        <w:spacing w:line="640" w:lineRule="exact"/>
        <w:ind w:firstLine="640"/>
        <w:jc w:val="both"/>
        <w:outlineLvl w:val="2"/>
      </w:pPr>
      <w:r>
        <w:rPr>
          <w:rFonts w:ascii="黑体" w:hAnsi="黑体" w:eastAsia="黑体"/>
          <w:sz w:val="32"/>
        </w:rPr>
        <w:t>八、国有资本经营预算财政拨款收入支出决算情况说明</w:t>
      </w:r>
    </w:p>
    <w:p w14:paraId="47DE66D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4D4C04">
      <w:pPr>
        <w:spacing w:line="640" w:lineRule="exact"/>
        <w:ind w:firstLine="640"/>
        <w:jc w:val="both"/>
        <w:outlineLvl w:val="2"/>
      </w:pPr>
      <w:r>
        <w:rPr>
          <w:rFonts w:ascii="黑体" w:hAnsi="黑体" w:eastAsia="黑体"/>
          <w:sz w:val="32"/>
        </w:rPr>
        <w:t>九、财政拨款“三公”经费支出决算情况说明</w:t>
      </w:r>
    </w:p>
    <w:p w14:paraId="0C3C1A3E">
      <w:pPr>
        <w:spacing w:line="580" w:lineRule="exact"/>
        <w:ind w:firstLine="640"/>
        <w:jc w:val="both"/>
      </w:pPr>
      <w:r>
        <w:rPr>
          <w:rFonts w:ascii="仿宋_GB2312" w:hAnsi="仿宋_GB2312" w:eastAsia="仿宋_GB2312"/>
          <w:b/>
          <w:sz w:val="32"/>
        </w:rPr>
        <w:t>2024年度财政拨款“三公”经费支出20.74万元，</w:t>
      </w:r>
      <w:r>
        <w:rPr>
          <w:rFonts w:ascii="仿宋_GB2312" w:hAnsi="仿宋_GB2312" w:eastAsia="仿宋_GB2312"/>
          <w:b w:val="0"/>
          <w:sz w:val="32"/>
        </w:rPr>
        <w:t>比上年增加10.74万元，增长107.40%，主要原因是：本单位公务用车日渐老化，维修维护成本增加，业务量增加，车辆使用频次增加，导致公务用车运行维护费较上年增加。其中：因公出国（境）费支出0.00万元，占0.00%，比上年增加0.00万元，增长0.00%，主要原因是：2023年与2024年均未安排因公出国（境）费支出。公务用车购置及运行维护费支出20.74万元，占100.00%，比上年增加10.74万元，增长107.40%，主要原因是：本单位公务用车日渐老化，维修维护成本增加，业务量增加，车辆使用频次增加，导致公务用车运行维护费较上年增加。公务接待费支出0.00万元，占0.00%，比上年增加0.00万元，增长0.00%，主要原因是：2023年与2024年均未安排公务接待费支出。</w:t>
      </w:r>
    </w:p>
    <w:p w14:paraId="2D54B76D">
      <w:pPr>
        <w:spacing w:line="580" w:lineRule="exact"/>
        <w:ind w:firstLine="640"/>
        <w:jc w:val="both"/>
      </w:pPr>
      <w:r>
        <w:rPr>
          <w:rFonts w:ascii="仿宋_GB2312" w:hAnsi="仿宋_GB2312" w:eastAsia="仿宋_GB2312"/>
          <w:b/>
          <w:sz w:val="32"/>
        </w:rPr>
        <w:t>具体情况如下：</w:t>
      </w:r>
    </w:p>
    <w:p w14:paraId="586ACB8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5D1F6E3">
      <w:pPr>
        <w:spacing w:line="580" w:lineRule="exact"/>
        <w:ind w:firstLine="640"/>
        <w:jc w:val="both"/>
      </w:pPr>
      <w:r>
        <w:rPr>
          <w:rFonts w:ascii="仿宋_GB2312" w:hAnsi="仿宋_GB2312" w:eastAsia="仿宋_GB2312"/>
          <w:b w:val="0"/>
          <w:sz w:val="32"/>
        </w:rPr>
        <w:t>公务用车购置及运行维护费20.74万元，其中：公务用车购置费13.98万元，公务用车运行维护费6.76万元。公务用车运行维护费开支内容包括公务用车加油费、维修费和保险费。公务用车购置数1辆，公务用车保有量21辆。国有资产占用情况中固定资产车辆21辆，与公务用车保有量差异原因是：本单位固定资产车辆与公务用车保有量一致无差异。</w:t>
      </w:r>
    </w:p>
    <w:p w14:paraId="08BDB48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DD52A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20.74万元，决算数20.74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6.76万元，决算数6.76万元，预决算差异率0.00%，主要原因是：严格按照预算执行，预决算无差异。公务接待费全年预算数0.00万元，决算数0.00万元，预决算差异率0.00%，主要原因是：本单位无公务接待费。</w:t>
      </w:r>
    </w:p>
    <w:p w14:paraId="444CA75C">
      <w:pPr>
        <w:spacing w:line="640" w:lineRule="exact"/>
        <w:ind w:firstLine="640"/>
        <w:jc w:val="both"/>
        <w:outlineLvl w:val="2"/>
      </w:pPr>
      <w:r>
        <w:rPr>
          <w:rFonts w:ascii="黑体" w:hAnsi="黑体" w:eastAsia="黑体"/>
          <w:sz w:val="32"/>
        </w:rPr>
        <w:t>十、其他重要事项的情况说明</w:t>
      </w:r>
    </w:p>
    <w:p w14:paraId="3BC00FEE">
      <w:pPr>
        <w:spacing w:line="640" w:lineRule="exact"/>
        <w:ind w:firstLine="640"/>
        <w:jc w:val="both"/>
        <w:outlineLvl w:val="3"/>
      </w:pPr>
      <w:r>
        <w:rPr>
          <w:rFonts w:ascii="楷体_GB2312" w:hAnsi="楷体_GB2312" w:eastAsia="楷体_GB2312"/>
          <w:b/>
          <w:sz w:val="32"/>
        </w:rPr>
        <w:t>（一）机关运行经费及公用经费支出情况</w:t>
      </w:r>
    </w:p>
    <w:p w14:paraId="0FA9107C">
      <w:pPr>
        <w:spacing w:line="580" w:lineRule="exact"/>
        <w:ind w:firstLine="640"/>
        <w:jc w:val="both"/>
      </w:pPr>
      <w:r>
        <w:rPr>
          <w:rFonts w:ascii="仿宋_GB2312" w:hAnsi="仿宋_GB2312" w:eastAsia="仿宋_GB2312"/>
          <w:b w:val="0"/>
          <w:sz w:val="32"/>
        </w:rPr>
        <w:t>2024年度岳普湖县色也克乡人民政府（行政单位和参照公务员法管理事业单位）机关运行经费支出208.34万元，比上年增加168.92万元，增长428.51%，主要原因是：本年在职人员增加，办公费用增加；本年度劳务费、水费等较上年增加。</w:t>
      </w:r>
    </w:p>
    <w:p w14:paraId="5DF62728">
      <w:pPr>
        <w:spacing w:line="640" w:lineRule="exact"/>
        <w:ind w:firstLine="640"/>
        <w:jc w:val="both"/>
        <w:outlineLvl w:val="3"/>
      </w:pPr>
      <w:r>
        <w:rPr>
          <w:rFonts w:ascii="楷体_GB2312" w:hAnsi="楷体_GB2312" w:eastAsia="楷体_GB2312"/>
          <w:b/>
          <w:sz w:val="32"/>
        </w:rPr>
        <w:t>（二）政府采购情况</w:t>
      </w:r>
    </w:p>
    <w:p w14:paraId="0A8C01FF">
      <w:pPr>
        <w:spacing w:line="580" w:lineRule="exact"/>
        <w:ind w:firstLine="640"/>
        <w:jc w:val="both"/>
      </w:pPr>
      <w:r>
        <w:rPr>
          <w:rFonts w:ascii="仿宋_GB2312" w:hAnsi="仿宋_GB2312" w:eastAsia="仿宋_GB2312"/>
          <w:b w:val="0"/>
          <w:sz w:val="32"/>
        </w:rPr>
        <w:t>2024年度政府采购支出总额15.95万元，其中：政府采购货物支出15.19万元、政府采购工程支出0.00万元、政府采购服务支出0.76万元。</w:t>
      </w:r>
    </w:p>
    <w:p w14:paraId="499C5AFD">
      <w:pPr>
        <w:spacing w:line="580" w:lineRule="exact"/>
        <w:ind w:firstLine="640"/>
        <w:jc w:val="both"/>
      </w:pPr>
      <w:r>
        <w:rPr>
          <w:rFonts w:ascii="仿宋_GB2312" w:hAnsi="仿宋_GB2312" w:eastAsia="仿宋_GB2312"/>
          <w:b w:val="0"/>
          <w:sz w:val="32"/>
        </w:rPr>
        <w:t>授予中小企业合同金额15.29万元，占政府采购支出总额的95.86%，其中：授予小微企业合同金额15.29万元，占政府采购支出总额的95.86%。</w:t>
      </w:r>
    </w:p>
    <w:p w14:paraId="00F54409">
      <w:pPr>
        <w:spacing w:line="640" w:lineRule="exact"/>
        <w:ind w:firstLine="640"/>
        <w:jc w:val="both"/>
        <w:outlineLvl w:val="3"/>
      </w:pPr>
      <w:r>
        <w:rPr>
          <w:rFonts w:ascii="楷体_GB2312" w:hAnsi="楷体_GB2312" w:eastAsia="楷体_GB2312"/>
          <w:b/>
          <w:sz w:val="32"/>
        </w:rPr>
        <w:t>（三）国有资产占用情况说明</w:t>
      </w:r>
    </w:p>
    <w:p w14:paraId="24236E6D">
      <w:pPr>
        <w:spacing w:line="580" w:lineRule="exact"/>
        <w:ind w:firstLine="640"/>
        <w:jc w:val="both"/>
      </w:pPr>
      <w:r>
        <w:rPr>
          <w:rFonts w:ascii="仿宋_GB2312" w:hAnsi="仿宋_GB2312" w:eastAsia="仿宋_GB2312"/>
          <w:b w:val="0"/>
          <w:sz w:val="32"/>
        </w:rPr>
        <w:t>截至2024年12月31日，房屋6,556.56平方米，价值711.46万元。车辆21辆，价值140.39万元，其中：副部（省）级及以上领导用车0辆、主要负责人用车0辆、机要通信用车0辆、应急保障用车0辆、执法执勤用车5辆、特种专业技术用车0辆、离退休干部服务用车0辆、其他用车16辆，其他用车主要是：一般公务用车。单价100万元（含）以上设备（不含车辆）0台（套）。</w:t>
      </w:r>
    </w:p>
    <w:p w14:paraId="25EA8D74">
      <w:pPr>
        <w:spacing w:line="640" w:lineRule="exact"/>
        <w:ind w:firstLine="640"/>
        <w:jc w:val="both"/>
        <w:outlineLvl w:val="2"/>
      </w:pPr>
      <w:r>
        <w:rPr>
          <w:rFonts w:ascii="黑体" w:hAnsi="黑体" w:eastAsia="黑体"/>
          <w:sz w:val="32"/>
        </w:rPr>
        <w:t>十一、预算绩效的情况说明</w:t>
      </w:r>
    </w:p>
    <w:p w14:paraId="7D8BAD8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3,679.51万元，实际执行总额3,679.51万元；预算绩效评价项目5个，全年预算数672.07万元，全年执行数672.07万元。预算绩效管理取得的成效：一是严格按照相关的专项资金管理办法，实行多重审批控制专项经费的支出。二是项目根据实际情况做出合理预算，支出严格控制在预算范围内，本着节约成本，防止资源浪费的原则将项目成效最大化。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加大绩效工作宣传力度，强化绩效理念。二是完善绩效指标，提高整体绩效目标质量。三是提升预算精细化管理水平。四是继续完善预算绩效管理相关工作制度，建立全过程预算绩效管理链条，有效贯彻落实全面实施绩效管理的精神。具体附整体支出绩效自评表，项目支出绩效自评表和评价报告。</w:t>
      </w:r>
    </w:p>
    <w:p w14:paraId="51FDF73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1B17BD">
        <w:tblPrEx>
          <w:tblCellMar>
            <w:top w:w="0" w:type="dxa"/>
            <w:left w:w="108" w:type="dxa"/>
            <w:bottom w:w="0" w:type="dxa"/>
            <w:right w:w="108" w:type="dxa"/>
          </w:tblCellMar>
        </w:tblPrEx>
        <w:tc>
          <w:tcPr>
            <w:tcW w:w="8847" w:type="dxa"/>
            <w:gridSpan w:val="9"/>
            <w:vAlign w:val="center"/>
          </w:tcPr>
          <w:p w14:paraId="51FC5395">
            <w:pPr>
              <w:jc w:val="center"/>
            </w:pPr>
            <w:r>
              <w:rPr>
                <w:rFonts w:ascii="宋体" w:hAnsi="宋体" w:eastAsia="宋体"/>
                <w:sz w:val="24"/>
              </w:rPr>
              <w:t>单位整体支出绩效自评表</w:t>
            </w:r>
          </w:p>
        </w:tc>
      </w:tr>
      <w:tr w14:paraId="28564C92">
        <w:tblPrEx>
          <w:tblCellMar>
            <w:top w:w="0" w:type="dxa"/>
            <w:left w:w="108" w:type="dxa"/>
            <w:bottom w:w="0" w:type="dxa"/>
            <w:right w:w="108" w:type="dxa"/>
          </w:tblCellMar>
        </w:tblPrEx>
        <w:tc>
          <w:tcPr>
            <w:tcW w:w="8847" w:type="dxa"/>
            <w:gridSpan w:val="9"/>
            <w:vAlign w:val="center"/>
          </w:tcPr>
          <w:p w14:paraId="31D5B9DD">
            <w:pPr>
              <w:jc w:val="center"/>
            </w:pPr>
            <w:r>
              <w:rPr>
                <w:rFonts w:ascii="宋体" w:hAnsi="宋体" w:eastAsia="宋体"/>
                <w:sz w:val="24"/>
              </w:rPr>
              <w:t>（2024年度）</w:t>
            </w:r>
          </w:p>
        </w:tc>
      </w:tr>
      <w:tr w14:paraId="6A5AEA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6C74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643BE4F">
            <w:pPr>
              <w:jc w:val="center"/>
            </w:pPr>
            <w:r>
              <w:rPr>
                <w:rFonts w:ascii="宋体" w:hAnsi="宋体" w:eastAsia="宋体"/>
                <w:sz w:val="16"/>
              </w:rPr>
              <w:t>岳普湖县色也克乡人民政府</w:t>
            </w:r>
          </w:p>
        </w:tc>
      </w:tr>
      <w:tr w14:paraId="68B81E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6588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7B3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AE7F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B30A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5B00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9346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4382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8667">
            <w:pPr>
              <w:jc w:val="center"/>
            </w:pPr>
            <w:r>
              <w:rPr>
                <w:rFonts w:ascii="宋体" w:hAnsi="宋体" w:eastAsia="宋体"/>
                <w:sz w:val="16"/>
              </w:rPr>
              <w:t>得分</w:t>
            </w:r>
          </w:p>
        </w:tc>
      </w:tr>
      <w:tr w14:paraId="21863B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A38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C86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CC197">
            <w:pPr>
              <w:jc w:val="center"/>
            </w:pPr>
            <w:r>
              <w:rPr>
                <w:rFonts w:ascii="宋体" w:hAnsi="宋体" w:eastAsia="宋体"/>
                <w:sz w:val="16"/>
              </w:rPr>
              <w:t>2,367.96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19F8B">
            <w:pPr>
              <w:jc w:val="center"/>
            </w:pPr>
            <w:r>
              <w:rPr>
                <w:rFonts w:ascii="宋体" w:hAnsi="宋体" w:eastAsia="宋体"/>
                <w:sz w:val="16"/>
              </w:rPr>
              <w:t>3,679.51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6A719">
            <w:pPr>
              <w:jc w:val="center"/>
            </w:pPr>
            <w:r>
              <w:rPr>
                <w:rFonts w:ascii="宋体" w:hAnsi="宋体" w:eastAsia="宋体"/>
                <w:sz w:val="16"/>
              </w:rPr>
              <w:t>3,679.51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B4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A8A4">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47EFB">
            <w:pPr>
              <w:jc w:val="center"/>
            </w:pPr>
            <w:r>
              <w:rPr>
                <w:rFonts w:ascii="宋体" w:hAnsi="宋体" w:eastAsia="宋体"/>
                <w:sz w:val="16"/>
              </w:rPr>
              <w:t>10</w:t>
            </w:r>
          </w:p>
        </w:tc>
      </w:tr>
      <w:tr w14:paraId="125E5D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6A4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E9E8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D53C">
            <w:pPr>
              <w:jc w:val="center"/>
            </w:pPr>
            <w:r>
              <w:rPr>
                <w:rFonts w:ascii="宋体" w:hAnsi="宋体" w:eastAsia="宋体"/>
                <w:sz w:val="16"/>
              </w:rPr>
              <w:t>68.15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58553">
            <w:pPr>
              <w:jc w:val="center"/>
            </w:pPr>
            <w:r>
              <w:rPr>
                <w:rFonts w:ascii="宋体" w:hAnsi="宋体" w:eastAsia="宋体"/>
                <w:sz w:val="16"/>
              </w:rPr>
              <w:t>1,332.58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450C8">
            <w:pPr>
              <w:jc w:val="center"/>
            </w:pPr>
            <w:r>
              <w:rPr>
                <w:rFonts w:ascii="宋体" w:hAnsi="宋体" w:eastAsia="宋体"/>
                <w:sz w:val="16"/>
              </w:rPr>
              <w:t>1,332.58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055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F9B8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DA7D3">
            <w:pPr>
              <w:jc w:val="center"/>
            </w:pPr>
            <w:r>
              <w:rPr>
                <w:rFonts w:ascii="宋体" w:hAnsi="宋体" w:eastAsia="宋体"/>
                <w:sz w:val="16"/>
              </w:rPr>
              <w:t>—</w:t>
            </w:r>
          </w:p>
        </w:tc>
      </w:tr>
      <w:tr w14:paraId="12B50D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C8B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F1FD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6E515">
            <w:pPr>
              <w:jc w:val="center"/>
            </w:pPr>
            <w:r>
              <w:rPr>
                <w:rFonts w:ascii="宋体" w:hAnsi="宋体" w:eastAsia="宋体"/>
                <w:sz w:val="16"/>
              </w:rPr>
              <w:t>2,299.81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361D1">
            <w:pPr>
              <w:jc w:val="center"/>
            </w:pPr>
            <w:r>
              <w:rPr>
                <w:rFonts w:ascii="宋体" w:hAnsi="宋体" w:eastAsia="宋体"/>
                <w:sz w:val="16"/>
              </w:rPr>
              <w:t>2,027.25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50390">
            <w:pPr>
              <w:jc w:val="center"/>
            </w:pPr>
            <w:r>
              <w:rPr>
                <w:rFonts w:ascii="宋体" w:hAnsi="宋体" w:eastAsia="宋体"/>
                <w:sz w:val="16"/>
              </w:rPr>
              <w:t>2,027.25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458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D879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3AF1">
            <w:pPr>
              <w:jc w:val="center"/>
            </w:pPr>
            <w:r>
              <w:rPr>
                <w:rFonts w:ascii="宋体" w:hAnsi="宋体" w:eastAsia="宋体"/>
                <w:sz w:val="16"/>
              </w:rPr>
              <w:t>—</w:t>
            </w:r>
          </w:p>
        </w:tc>
      </w:tr>
      <w:tr w14:paraId="3608AC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6E4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76C4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B6A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C39A6">
            <w:pPr>
              <w:jc w:val="center"/>
            </w:pPr>
            <w:r>
              <w:rPr>
                <w:rFonts w:ascii="宋体" w:hAnsi="宋体" w:eastAsia="宋体"/>
                <w:sz w:val="16"/>
              </w:rPr>
              <w:t>319.68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0C8B7">
            <w:pPr>
              <w:jc w:val="center"/>
            </w:pPr>
            <w:r>
              <w:rPr>
                <w:rFonts w:ascii="宋体" w:hAnsi="宋体" w:eastAsia="宋体"/>
                <w:sz w:val="16"/>
              </w:rPr>
              <w:t>319.68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634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50E7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E8D31">
            <w:pPr>
              <w:jc w:val="center"/>
            </w:pPr>
            <w:r>
              <w:rPr>
                <w:rFonts w:ascii="宋体" w:hAnsi="宋体" w:eastAsia="宋体"/>
                <w:sz w:val="16"/>
              </w:rPr>
              <w:t>—</w:t>
            </w:r>
          </w:p>
        </w:tc>
      </w:tr>
      <w:tr w14:paraId="4BA40D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AC44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9C77B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AB3CCB">
            <w:pPr>
              <w:jc w:val="center"/>
            </w:pPr>
            <w:r>
              <w:rPr>
                <w:rFonts w:ascii="宋体" w:hAnsi="宋体" w:eastAsia="宋体"/>
                <w:sz w:val="16"/>
              </w:rPr>
              <w:t>实际完成情况</w:t>
            </w:r>
          </w:p>
        </w:tc>
      </w:tr>
      <w:tr w14:paraId="4D0C95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D051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B95BD3">
            <w:pPr>
              <w:jc w:val="both"/>
            </w:pPr>
            <w:r>
              <w:rPr>
                <w:rFonts w:ascii="宋体" w:hAnsi="宋体" w:eastAsia="宋体"/>
                <w:sz w:val="16"/>
              </w:rPr>
              <w:t>推进乡村振兴村级数量14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D03654">
            <w:pPr>
              <w:jc w:val="both"/>
            </w:pPr>
            <w:r>
              <w:rPr>
                <w:rFonts w:ascii="宋体" w:hAnsi="宋体" w:eastAsia="宋体"/>
                <w:sz w:val="16"/>
              </w:rPr>
              <w:t>岳普湖县色也克乡人民政府已完成本年度乡村振兴推进任务，推进乡村振兴村级数量14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w:t>
            </w:r>
            <w:bookmarkStart w:id="0" w:name="_GoBack"/>
            <w:r>
              <w:rPr>
                <w:rFonts w:ascii="宋体" w:hAnsi="宋体" w:eastAsia="宋体"/>
                <w:sz w:val="16"/>
              </w:rPr>
              <w:t>稳定</w:t>
            </w:r>
            <w:bookmarkEnd w:id="0"/>
            <w:r>
              <w:rPr>
                <w:rFonts w:ascii="宋体" w:hAnsi="宋体" w:eastAsia="宋体"/>
                <w:sz w:val="16"/>
              </w:rPr>
              <w:t>，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3B1832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A26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FE7F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6D5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40FC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13EE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0A8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3423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FE0E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0A832">
            <w:pPr>
              <w:jc w:val="center"/>
            </w:pPr>
            <w:r>
              <w:rPr>
                <w:rFonts w:ascii="宋体" w:hAnsi="宋体" w:eastAsia="宋体"/>
                <w:sz w:val="16"/>
              </w:rPr>
              <w:t>得分</w:t>
            </w:r>
          </w:p>
        </w:tc>
      </w:tr>
      <w:tr w14:paraId="0024EA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A2A25">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87FA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2E8B">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FC4BA">
            <w:pPr>
              <w:jc w:val="center"/>
            </w:pPr>
            <w:r>
              <w:rPr>
                <w:rFonts w:ascii="宋体" w:hAnsi="宋体" w:eastAsia="宋体"/>
                <w:sz w:val="16"/>
              </w:rPr>
              <w:t>&gt;=14个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6A23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BBAC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688BF">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B41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455B0">
            <w:pPr>
              <w:jc w:val="center"/>
            </w:pPr>
            <w:r>
              <w:rPr>
                <w:rFonts w:ascii="宋体" w:hAnsi="宋体" w:eastAsia="宋体"/>
                <w:sz w:val="16"/>
              </w:rPr>
              <w:t>18</w:t>
            </w:r>
          </w:p>
        </w:tc>
      </w:tr>
      <w:tr w14:paraId="7E4A02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690E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302B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41925">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913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29E2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1041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767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3F9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153B6">
            <w:pPr>
              <w:jc w:val="center"/>
            </w:pPr>
            <w:r>
              <w:rPr>
                <w:rFonts w:ascii="宋体" w:hAnsi="宋体" w:eastAsia="宋体"/>
                <w:sz w:val="16"/>
              </w:rPr>
              <w:t>18</w:t>
            </w:r>
          </w:p>
        </w:tc>
      </w:tr>
      <w:tr w14:paraId="61192D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63F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40C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20FE1">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536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C251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8BAF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074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25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A647F">
            <w:pPr>
              <w:jc w:val="center"/>
            </w:pPr>
            <w:r>
              <w:rPr>
                <w:rFonts w:ascii="宋体" w:hAnsi="宋体" w:eastAsia="宋体"/>
                <w:sz w:val="16"/>
              </w:rPr>
              <w:t>18</w:t>
            </w:r>
          </w:p>
        </w:tc>
      </w:tr>
      <w:tr w14:paraId="1F0739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443F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A6E4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C8D4E">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C82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4F0F3">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0422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C8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36E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DAF38">
            <w:pPr>
              <w:jc w:val="center"/>
            </w:pPr>
            <w:r>
              <w:rPr>
                <w:rFonts w:ascii="宋体" w:hAnsi="宋体" w:eastAsia="宋体"/>
                <w:sz w:val="16"/>
              </w:rPr>
              <w:t>18</w:t>
            </w:r>
          </w:p>
        </w:tc>
      </w:tr>
      <w:tr w14:paraId="7BE365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645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F72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A0A0A">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188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EB42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C226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C5A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A6E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D9EF1">
            <w:pPr>
              <w:jc w:val="center"/>
            </w:pPr>
            <w:r>
              <w:rPr>
                <w:rFonts w:ascii="宋体" w:hAnsi="宋体" w:eastAsia="宋体"/>
                <w:sz w:val="16"/>
              </w:rPr>
              <w:t>18</w:t>
            </w:r>
          </w:p>
        </w:tc>
      </w:tr>
    </w:tbl>
    <w:p w14:paraId="202CC87B">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5"/>
        <w:gridCol w:w="631"/>
        <w:gridCol w:w="621"/>
        <w:gridCol w:w="615"/>
        <w:gridCol w:w="615"/>
        <w:gridCol w:w="776"/>
        <w:gridCol w:w="632"/>
        <w:gridCol w:w="596"/>
        <w:gridCol w:w="632"/>
      </w:tblGrid>
      <w:tr w14:paraId="7D7DC047">
        <w:tblPrEx>
          <w:tblCellMar>
            <w:top w:w="0" w:type="dxa"/>
            <w:left w:w="108" w:type="dxa"/>
            <w:bottom w:w="0" w:type="dxa"/>
            <w:right w:w="108" w:type="dxa"/>
          </w:tblCellMar>
        </w:tblPrEx>
        <w:tc>
          <w:tcPr>
            <w:tcW w:w="8848" w:type="dxa"/>
            <w:gridSpan w:val="14"/>
            <w:vAlign w:val="center"/>
          </w:tcPr>
          <w:p w14:paraId="41E9D11D">
            <w:pPr>
              <w:jc w:val="center"/>
            </w:pPr>
            <w:r>
              <w:rPr>
                <w:rFonts w:ascii="宋体" w:hAnsi="宋体" w:eastAsia="宋体"/>
                <w:sz w:val="24"/>
              </w:rPr>
              <w:t>项目支出绩效自评表</w:t>
            </w:r>
          </w:p>
        </w:tc>
      </w:tr>
      <w:tr w14:paraId="323E688E">
        <w:tblPrEx>
          <w:tblCellMar>
            <w:top w:w="0" w:type="dxa"/>
            <w:left w:w="108" w:type="dxa"/>
            <w:bottom w:w="0" w:type="dxa"/>
            <w:right w:w="108" w:type="dxa"/>
          </w:tblCellMar>
        </w:tblPrEx>
        <w:tc>
          <w:tcPr>
            <w:tcW w:w="8848" w:type="dxa"/>
            <w:gridSpan w:val="14"/>
            <w:vAlign w:val="center"/>
          </w:tcPr>
          <w:p w14:paraId="4DAF1C2E">
            <w:pPr>
              <w:jc w:val="center"/>
            </w:pPr>
            <w:r>
              <w:rPr>
                <w:rFonts w:ascii="宋体" w:hAnsi="宋体" w:eastAsia="宋体"/>
                <w:sz w:val="24"/>
              </w:rPr>
              <w:t>(2024年度)</w:t>
            </w:r>
          </w:p>
        </w:tc>
      </w:tr>
      <w:tr w14:paraId="53020A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C6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F3CE05">
            <w:pPr>
              <w:jc w:val="center"/>
            </w:pPr>
            <w:r>
              <w:rPr>
                <w:rFonts w:ascii="宋体" w:hAnsi="宋体" w:eastAsia="宋体"/>
                <w:sz w:val="16"/>
              </w:rPr>
              <w:t>2024年乡镇工作经费项目</w:t>
            </w:r>
          </w:p>
        </w:tc>
      </w:tr>
      <w:tr w14:paraId="640BBF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E9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56D17">
            <w:pPr>
              <w:jc w:val="center"/>
            </w:pPr>
            <w:r>
              <w:rPr>
                <w:rFonts w:ascii="宋体" w:hAnsi="宋体" w:eastAsia="宋体"/>
                <w:sz w:val="16"/>
              </w:rPr>
              <w:t>岳普湖县色也克乡人民政府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DC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A8217">
            <w:pPr>
              <w:jc w:val="center"/>
            </w:pPr>
            <w:r>
              <w:rPr>
                <w:rFonts w:ascii="宋体" w:hAnsi="宋体" w:eastAsia="宋体"/>
                <w:sz w:val="16"/>
              </w:rPr>
              <w:t>岳普湖县色也克乡人民政府</w:t>
            </w:r>
          </w:p>
        </w:tc>
      </w:tr>
      <w:tr w14:paraId="02150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FD2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BE7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BB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B6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E94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3E5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12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B62A">
            <w:pPr>
              <w:jc w:val="center"/>
            </w:pPr>
            <w:r>
              <w:rPr>
                <w:rFonts w:ascii="宋体" w:hAnsi="宋体" w:eastAsia="宋体"/>
                <w:sz w:val="16"/>
              </w:rPr>
              <w:t>得分</w:t>
            </w:r>
          </w:p>
        </w:tc>
      </w:tr>
      <w:tr w14:paraId="79F3B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40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B89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FBC45">
            <w:pPr>
              <w:jc w:val="center"/>
            </w:pPr>
            <w:r>
              <w:rPr>
                <w:rFonts w:ascii="宋体" w:hAnsi="宋体" w:eastAsia="宋体"/>
                <w:sz w:val="16"/>
              </w:rPr>
              <w:t>162.00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7CAF7">
            <w:pPr>
              <w:jc w:val="center"/>
            </w:pPr>
            <w:r>
              <w:rPr>
                <w:rFonts w:ascii="宋体" w:hAnsi="宋体" w:eastAsia="宋体"/>
                <w:sz w:val="16"/>
              </w:rPr>
              <w:t>205.94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B19B">
            <w:pPr>
              <w:jc w:val="center"/>
            </w:pPr>
            <w:r>
              <w:rPr>
                <w:rFonts w:ascii="宋体" w:hAnsi="宋体" w:eastAsia="宋体"/>
                <w:sz w:val="16"/>
              </w:rPr>
              <w:t>205.94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F54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02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956C">
            <w:pPr>
              <w:jc w:val="center"/>
            </w:pPr>
            <w:r>
              <w:rPr>
                <w:rFonts w:ascii="宋体" w:hAnsi="宋体" w:eastAsia="宋体"/>
                <w:sz w:val="16"/>
              </w:rPr>
              <w:t>10.00分</w:t>
            </w:r>
          </w:p>
        </w:tc>
      </w:tr>
      <w:tr w14:paraId="11FE4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047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5B3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1F63">
            <w:pPr>
              <w:jc w:val="center"/>
            </w:pPr>
            <w:r>
              <w:rPr>
                <w:rFonts w:ascii="宋体" w:hAnsi="宋体" w:eastAsia="宋体"/>
                <w:sz w:val="16"/>
              </w:rPr>
              <w:t>162.00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9B02B">
            <w:pPr>
              <w:jc w:val="center"/>
            </w:pPr>
            <w:r>
              <w:rPr>
                <w:rFonts w:ascii="宋体" w:hAnsi="宋体" w:eastAsia="宋体"/>
                <w:sz w:val="16"/>
              </w:rPr>
              <w:t>205.94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127D1">
            <w:pPr>
              <w:jc w:val="center"/>
            </w:pPr>
            <w:r>
              <w:rPr>
                <w:rFonts w:ascii="宋体" w:hAnsi="宋体" w:eastAsia="宋体"/>
                <w:sz w:val="16"/>
              </w:rPr>
              <w:t>205.94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22E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A0F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7171">
            <w:pPr>
              <w:jc w:val="center"/>
            </w:pPr>
            <w:r>
              <w:rPr>
                <w:rFonts w:ascii="宋体" w:hAnsi="宋体" w:eastAsia="宋体"/>
                <w:sz w:val="16"/>
              </w:rPr>
              <w:t>—</w:t>
            </w:r>
          </w:p>
        </w:tc>
      </w:tr>
      <w:tr w14:paraId="59B20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8E5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845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AC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9D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6D5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F9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11E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3704">
            <w:pPr>
              <w:jc w:val="center"/>
            </w:pPr>
            <w:r>
              <w:rPr>
                <w:rFonts w:ascii="宋体" w:hAnsi="宋体" w:eastAsia="宋体"/>
                <w:sz w:val="16"/>
              </w:rPr>
              <w:t>—</w:t>
            </w:r>
          </w:p>
        </w:tc>
      </w:tr>
      <w:tr w14:paraId="541026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C78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5CE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9D235">
            <w:pPr>
              <w:jc w:val="center"/>
            </w:pPr>
            <w:r>
              <w:rPr>
                <w:rFonts w:ascii="宋体" w:hAnsi="宋体" w:eastAsia="宋体"/>
                <w:sz w:val="16"/>
              </w:rPr>
              <w:t>实际完成情况</w:t>
            </w:r>
          </w:p>
        </w:tc>
      </w:tr>
      <w:tr w14:paraId="309F9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74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C26E2">
            <w:pPr>
              <w:jc w:val="both"/>
            </w:pPr>
            <w:r>
              <w:rPr>
                <w:rFonts w:ascii="宋体" w:hAnsi="宋体" w:eastAsia="宋体"/>
                <w:sz w:val="16"/>
              </w:rPr>
              <w:t>根据岳普湖县实际情况，为确保岳普湖县色也克乡人民政府各项工作有序进行，贯彻落实好县委、县政府各项工作部署要求，为色也克乡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4D5A5F">
            <w:pPr>
              <w:jc w:val="both"/>
            </w:pPr>
            <w:r>
              <w:rPr>
                <w:rFonts w:ascii="宋体" w:hAnsi="宋体" w:eastAsia="宋体"/>
                <w:sz w:val="16"/>
              </w:rPr>
              <w:t>项目已完成2024年度色也克乡人民政府经费保障任务，经费保障单位数量1个。预算执行率100%。通过项目的实施有效提升社会公众服务能力，保障单位日常工作顺利实施。</w:t>
            </w:r>
          </w:p>
        </w:tc>
      </w:tr>
      <w:tr w14:paraId="582FCF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BF7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78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C7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F3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5EF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F3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6A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CA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FF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93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02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C2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8D94F">
            <w:pPr>
              <w:jc w:val="center"/>
            </w:pPr>
            <w:r>
              <w:rPr>
                <w:rFonts w:ascii="宋体" w:hAnsi="宋体" w:eastAsia="宋体"/>
                <w:sz w:val="16"/>
              </w:rPr>
              <w:t>偏差原因分析及改进措施</w:t>
            </w:r>
          </w:p>
        </w:tc>
      </w:tr>
      <w:tr w14:paraId="7BD82C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417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167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6E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D576">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BDD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3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E64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01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F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AD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AD8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06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56028">
            <w:pPr>
              <w:jc w:val="center"/>
            </w:pPr>
          </w:p>
        </w:tc>
      </w:tr>
      <w:tr w14:paraId="625C1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00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AB8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BD6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6FF9">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8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D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F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71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A7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94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C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66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10069">
            <w:pPr>
              <w:jc w:val="center"/>
            </w:pPr>
          </w:p>
        </w:tc>
      </w:tr>
      <w:tr w14:paraId="2125E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E1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01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3A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59B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03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4A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1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00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E9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F1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6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7B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78455">
            <w:pPr>
              <w:jc w:val="center"/>
            </w:pPr>
          </w:p>
        </w:tc>
      </w:tr>
      <w:tr w14:paraId="0DF71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E4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917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608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C315">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B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55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4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53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5E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33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8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4D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C90C">
            <w:pPr>
              <w:jc w:val="center"/>
            </w:pPr>
          </w:p>
        </w:tc>
      </w:tr>
      <w:tr w14:paraId="4FC60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BD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F3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51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752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4E1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5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0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CD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A6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0A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0706">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B1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8233">
            <w:pPr>
              <w:jc w:val="center"/>
            </w:pPr>
          </w:p>
        </w:tc>
      </w:tr>
      <w:tr w14:paraId="502A5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2B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160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DA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B8F9">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0CC4">
            <w:pPr>
              <w:jc w:val="center"/>
            </w:pPr>
            <w:r>
              <w:rPr>
                <w:rFonts w:ascii="宋体" w:hAnsi="宋体" w:eastAsia="宋体"/>
                <w:sz w:val="16"/>
              </w:rPr>
              <w:t>&lt;=205.94万元/个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7D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9ECB">
            <w:pPr>
              <w:jc w:val="center"/>
            </w:pPr>
            <w:r>
              <w:rPr>
                <w:rFonts w:ascii="宋体" w:hAnsi="宋体" w:eastAsia="宋体"/>
                <w:sz w:val="16"/>
              </w:rPr>
              <w:t>39.98万元/个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81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8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F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ABFA">
            <w:pPr>
              <w:jc w:val="center"/>
            </w:pPr>
            <w:r>
              <w:rPr>
                <w:rFonts w:ascii="宋体" w:hAnsi="宋体" w:eastAsia="宋体"/>
                <w:sz w:val="16"/>
              </w:rPr>
              <w:t>=205.94万元/个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3E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4D957">
            <w:pPr>
              <w:jc w:val="center"/>
            </w:pPr>
          </w:p>
        </w:tc>
      </w:tr>
      <w:tr w14:paraId="4DB89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0A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B1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EE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420E">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E1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99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7C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4DD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9B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7B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675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24E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350B">
            <w:pPr>
              <w:jc w:val="center"/>
            </w:pPr>
          </w:p>
        </w:tc>
      </w:tr>
      <w:tr w14:paraId="6FF452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2AF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022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565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88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1EB1C7"/>
        </w:tc>
      </w:tr>
    </w:tbl>
    <w:p w14:paraId="3D64839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AA7E593">
        <w:tblPrEx>
          <w:tblCellMar>
            <w:top w:w="0" w:type="dxa"/>
            <w:left w:w="108" w:type="dxa"/>
            <w:bottom w:w="0" w:type="dxa"/>
            <w:right w:w="108" w:type="dxa"/>
          </w:tblCellMar>
        </w:tblPrEx>
        <w:tc>
          <w:tcPr>
            <w:tcW w:w="8848" w:type="dxa"/>
            <w:gridSpan w:val="14"/>
            <w:vAlign w:val="center"/>
          </w:tcPr>
          <w:p w14:paraId="4CE3DB72">
            <w:pPr>
              <w:jc w:val="center"/>
            </w:pPr>
            <w:r>
              <w:rPr>
                <w:rFonts w:ascii="宋体" w:hAnsi="宋体" w:eastAsia="宋体"/>
                <w:sz w:val="24"/>
              </w:rPr>
              <w:t>项目支出绩效自评表</w:t>
            </w:r>
          </w:p>
        </w:tc>
      </w:tr>
      <w:tr w14:paraId="5DF9E85C">
        <w:tblPrEx>
          <w:tblCellMar>
            <w:top w:w="0" w:type="dxa"/>
            <w:left w:w="108" w:type="dxa"/>
            <w:bottom w:w="0" w:type="dxa"/>
            <w:right w:w="108" w:type="dxa"/>
          </w:tblCellMar>
        </w:tblPrEx>
        <w:tc>
          <w:tcPr>
            <w:tcW w:w="8848" w:type="dxa"/>
            <w:gridSpan w:val="14"/>
            <w:vAlign w:val="center"/>
          </w:tcPr>
          <w:p w14:paraId="4FB0FE66">
            <w:pPr>
              <w:jc w:val="center"/>
            </w:pPr>
            <w:r>
              <w:rPr>
                <w:rFonts w:ascii="宋体" w:hAnsi="宋体" w:eastAsia="宋体"/>
                <w:sz w:val="24"/>
              </w:rPr>
              <w:t>(2024年度)</w:t>
            </w:r>
          </w:p>
        </w:tc>
      </w:tr>
      <w:tr w14:paraId="550F7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D5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AB1062">
            <w:pPr>
              <w:jc w:val="center"/>
            </w:pPr>
            <w:r>
              <w:rPr>
                <w:rFonts w:ascii="宋体" w:hAnsi="宋体" w:eastAsia="宋体"/>
                <w:sz w:val="16"/>
              </w:rPr>
              <w:t>2024年度地方国有农牧场农村税费改革转移支付资金项目</w:t>
            </w:r>
          </w:p>
        </w:tc>
      </w:tr>
      <w:tr w14:paraId="778F2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69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316D44">
            <w:pPr>
              <w:jc w:val="center"/>
            </w:pPr>
            <w:r>
              <w:rPr>
                <w:rFonts w:ascii="宋体" w:hAnsi="宋体" w:eastAsia="宋体"/>
                <w:sz w:val="16"/>
              </w:rPr>
              <w:t>岳普湖县色也克乡人民政府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64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EDCD9">
            <w:pPr>
              <w:jc w:val="center"/>
            </w:pPr>
            <w:r>
              <w:rPr>
                <w:rFonts w:ascii="宋体" w:hAnsi="宋体" w:eastAsia="宋体"/>
                <w:sz w:val="16"/>
              </w:rPr>
              <w:t>岳普湖县色也克乡人民政府</w:t>
            </w:r>
          </w:p>
        </w:tc>
      </w:tr>
      <w:tr w14:paraId="573531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B85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7E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0F8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B7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1C5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0E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0B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5886">
            <w:pPr>
              <w:jc w:val="center"/>
            </w:pPr>
            <w:r>
              <w:rPr>
                <w:rFonts w:ascii="宋体" w:hAnsi="宋体" w:eastAsia="宋体"/>
                <w:sz w:val="16"/>
              </w:rPr>
              <w:t>得分</w:t>
            </w:r>
          </w:p>
        </w:tc>
      </w:tr>
      <w:tr w14:paraId="14EF6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213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9BF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5184">
            <w:pPr>
              <w:jc w:val="center"/>
            </w:pPr>
            <w:r>
              <w:rPr>
                <w:rFonts w:ascii="宋体" w:hAnsi="宋体" w:eastAsia="宋体"/>
                <w:sz w:val="16"/>
              </w:rPr>
              <w:t>101.94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8B5C">
            <w:pPr>
              <w:jc w:val="center"/>
            </w:pPr>
            <w:r>
              <w:rPr>
                <w:rFonts w:ascii="宋体" w:hAnsi="宋体" w:eastAsia="宋体"/>
                <w:sz w:val="16"/>
              </w:rPr>
              <w:t>101.94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F0C0F">
            <w:pPr>
              <w:jc w:val="center"/>
            </w:pPr>
            <w:r>
              <w:rPr>
                <w:rFonts w:ascii="宋体" w:hAnsi="宋体" w:eastAsia="宋体"/>
                <w:sz w:val="16"/>
              </w:rPr>
              <w:t>101.94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84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D1E6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FDAA">
            <w:pPr>
              <w:jc w:val="center"/>
            </w:pPr>
            <w:r>
              <w:rPr>
                <w:rFonts w:ascii="宋体" w:hAnsi="宋体" w:eastAsia="宋体"/>
                <w:sz w:val="16"/>
              </w:rPr>
              <w:t>10.00分</w:t>
            </w:r>
          </w:p>
        </w:tc>
      </w:tr>
      <w:tr w14:paraId="55FEC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840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2D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7043">
            <w:pPr>
              <w:jc w:val="center"/>
            </w:pPr>
            <w:r>
              <w:rPr>
                <w:rFonts w:ascii="宋体" w:hAnsi="宋体" w:eastAsia="宋体"/>
                <w:sz w:val="16"/>
              </w:rPr>
              <w:t>101.94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4341E">
            <w:pPr>
              <w:jc w:val="center"/>
            </w:pPr>
            <w:r>
              <w:rPr>
                <w:rFonts w:ascii="宋体" w:hAnsi="宋体" w:eastAsia="宋体"/>
                <w:sz w:val="16"/>
              </w:rPr>
              <w:t>101.94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FBFF">
            <w:pPr>
              <w:jc w:val="center"/>
            </w:pPr>
            <w:r>
              <w:rPr>
                <w:rFonts w:ascii="宋体" w:hAnsi="宋体" w:eastAsia="宋体"/>
                <w:sz w:val="16"/>
              </w:rPr>
              <w:t>101.94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4FA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AE8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ABFF">
            <w:pPr>
              <w:jc w:val="center"/>
            </w:pPr>
            <w:r>
              <w:rPr>
                <w:rFonts w:ascii="宋体" w:hAnsi="宋体" w:eastAsia="宋体"/>
                <w:sz w:val="16"/>
              </w:rPr>
              <w:t>—</w:t>
            </w:r>
          </w:p>
        </w:tc>
      </w:tr>
      <w:tr w14:paraId="12F17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F7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917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2E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BC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6E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B7F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8F6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26C2">
            <w:pPr>
              <w:jc w:val="center"/>
            </w:pPr>
            <w:r>
              <w:rPr>
                <w:rFonts w:ascii="宋体" w:hAnsi="宋体" w:eastAsia="宋体"/>
                <w:sz w:val="16"/>
              </w:rPr>
              <w:t>—</w:t>
            </w:r>
          </w:p>
        </w:tc>
      </w:tr>
      <w:tr w14:paraId="291159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319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CA5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DF1BE">
            <w:pPr>
              <w:jc w:val="center"/>
            </w:pPr>
            <w:r>
              <w:rPr>
                <w:rFonts w:ascii="宋体" w:hAnsi="宋体" w:eastAsia="宋体"/>
                <w:sz w:val="16"/>
              </w:rPr>
              <w:t>实际完成情况</w:t>
            </w:r>
          </w:p>
        </w:tc>
      </w:tr>
      <w:tr w14:paraId="5B692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5BF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D828A">
            <w:pPr>
              <w:jc w:val="both"/>
            </w:pPr>
            <w:r>
              <w:rPr>
                <w:rFonts w:ascii="宋体" w:hAnsi="宋体" w:eastAsia="宋体"/>
                <w:sz w:val="16"/>
              </w:rPr>
              <w:t>根据岳普湖县实际情况，为加强农村综合改革转移支付管理，提高资金使用效益，推动落实党中央、国务院有关农村综合改革发展重大决策部署，在色也克乡农场社区和林场社区实施基础设施提升改造工程，农场社区主要进行村民服务中心、路灯维修、垃圾转运站、墙面粉刷、广告制作、混凝土地面。林场社区主要进行路灯安装；村民活动中心改造；闸口维修；红绿灯安装；戈壁石道路铺设。项目提升改造工程数量2个。通过项目的实施推动国有农林牧场税费改革的落实，优化农林牧场资源配置，提高农林牧场经济效益，加大对地方国有农牧场的支持力度，促进其经济社会事业的快速发展，提高农村居民的生活水平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53DEE7">
            <w:pPr>
              <w:jc w:val="both"/>
            </w:pPr>
            <w:r>
              <w:rPr>
                <w:rFonts w:ascii="宋体" w:hAnsi="宋体" w:eastAsia="宋体"/>
                <w:sz w:val="16"/>
              </w:rPr>
              <w:t>项目已完成色也克乡农场社区和林场社区实施基础设施提升改造工程建设，当年度资金支付任务。农场社区主要进行村民服务中心、路灯维修、垃圾转运站、墙面粉刷、广告制作、混凝土地面。林场社区主要进行路灯安装；村民活动中心改造；闸口维修；红绿灯安装；戈壁石道路铺设。项目提升改造工程数量2个。预算执行率100%。通过项目的实施推动国有农林牧场税费改革的落实，优化农林牧场资源配置，有效提高农林牧场经济效益，加大对地方国有农牧场的支持力度，促进其经济社会事业的快速发展，提高农村居民的生活水平和幸福感。项目的受益人员满意度为100%。</w:t>
            </w:r>
          </w:p>
        </w:tc>
      </w:tr>
      <w:tr w14:paraId="3E1AF7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C82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B7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98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78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4D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03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8C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F6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FA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E0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40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A3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A0B1">
            <w:pPr>
              <w:jc w:val="center"/>
            </w:pPr>
            <w:r>
              <w:rPr>
                <w:rFonts w:ascii="宋体" w:hAnsi="宋体" w:eastAsia="宋体"/>
                <w:sz w:val="16"/>
              </w:rPr>
              <w:t>偏差原因分析及改进措施</w:t>
            </w:r>
          </w:p>
        </w:tc>
      </w:tr>
      <w:tr w14:paraId="3B4CAA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09F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481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20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22C2">
            <w:pPr>
              <w:jc w:val="center"/>
            </w:pPr>
            <w:r>
              <w:rPr>
                <w:rFonts w:ascii="宋体" w:hAnsi="宋体" w:eastAsia="宋体"/>
                <w:sz w:val="16"/>
              </w:rPr>
              <w:t>项目提升改造工程数量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6B27">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D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A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10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5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B9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AAC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AC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88D87">
            <w:pPr>
              <w:jc w:val="center"/>
            </w:pPr>
          </w:p>
        </w:tc>
      </w:tr>
      <w:tr w14:paraId="4A4F9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23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F39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EAA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51F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3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1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7F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7F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B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4B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1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87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59A9">
            <w:pPr>
              <w:jc w:val="center"/>
            </w:pPr>
          </w:p>
        </w:tc>
      </w:tr>
      <w:tr w14:paraId="4AE2F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B3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6B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45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159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C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A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C1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78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D0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D5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A4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08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46E32">
            <w:pPr>
              <w:jc w:val="center"/>
            </w:pPr>
          </w:p>
        </w:tc>
      </w:tr>
      <w:tr w14:paraId="129E9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B6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BC3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A13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157C">
            <w:pPr>
              <w:jc w:val="center"/>
            </w:pPr>
            <w:r>
              <w:rPr>
                <w:rFonts w:ascii="宋体" w:hAnsi="宋体" w:eastAsia="宋体"/>
                <w:sz w:val="16"/>
              </w:rPr>
              <w:t>工程竣工及时率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B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5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98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44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3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C2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21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CB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C8EE7">
            <w:pPr>
              <w:jc w:val="center"/>
            </w:pPr>
          </w:p>
        </w:tc>
      </w:tr>
      <w:tr w14:paraId="38F4A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C3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954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1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50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3ED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6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1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89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13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5F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5AE3">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51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3353">
            <w:pPr>
              <w:jc w:val="center"/>
            </w:pPr>
          </w:p>
        </w:tc>
      </w:tr>
      <w:tr w14:paraId="5EAF3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184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5D5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DA6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ED02">
            <w:pPr>
              <w:jc w:val="center"/>
            </w:pPr>
            <w:r>
              <w:rPr>
                <w:rFonts w:ascii="宋体" w:hAnsi="宋体" w:eastAsia="宋体"/>
                <w:sz w:val="16"/>
              </w:rPr>
              <w:t>农场社区修缮工程预算控制数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D6C9">
            <w:pPr>
              <w:jc w:val="center"/>
            </w:pPr>
            <w:r>
              <w:rPr>
                <w:rFonts w:ascii="宋体" w:hAnsi="宋体" w:eastAsia="宋体"/>
                <w:sz w:val="16"/>
              </w:rPr>
              <w:t>&lt;=65.54万元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0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A1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8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B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EC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D4D9">
            <w:pPr>
              <w:jc w:val="center"/>
            </w:pPr>
            <w:r>
              <w:rPr>
                <w:rFonts w:ascii="宋体" w:hAnsi="宋体" w:eastAsia="宋体"/>
                <w:sz w:val="16"/>
              </w:rPr>
              <w:t>=65.54万元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AC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DF0BC">
            <w:pPr>
              <w:jc w:val="center"/>
            </w:pPr>
          </w:p>
        </w:tc>
      </w:tr>
      <w:tr w14:paraId="6FF6C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D5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78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7E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2635">
            <w:pPr>
              <w:jc w:val="center"/>
            </w:pPr>
            <w:r>
              <w:rPr>
                <w:rFonts w:ascii="宋体" w:hAnsi="宋体" w:eastAsia="宋体"/>
                <w:sz w:val="16"/>
              </w:rPr>
              <w:t>林场社区修缮工程预算控制数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48BE">
            <w:pPr>
              <w:jc w:val="center"/>
            </w:pPr>
            <w:r>
              <w:rPr>
                <w:rFonts w:ascii="宋体" w:hAnsi="宋体" w:eastAsia="宋体"/>
                <w:sz w:val="16"/>
              </w:rPr>
              <w:t>&lt;=36.4万元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F1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7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70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1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7A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62DF">
            <w:pPr>
              <w:jc w:val="center"/>
            </w:pPr>
            <w:r>
              <w:rPr>
                <w:rFonts w:ascii="宋体" w:hAnsi="宋体" w:eastAsia="宋体"/>
                <w:sz w:val="16"/>
              </w:rPr>
              <w:t>=36.4万元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FB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E204">
            <w:pPr>
              <w:jc w:val="center"/>
            </w:pPr>
          </w:p>
        </w:tc>
      </w:tr>
      <w:tr w14:paraId="0330C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F8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1A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18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47FF">
            <w:pPr>
              <w:jc w:val="center"/>
            </w:pPr>
            <w:r>
              <w:rPr>
                <w:rFonts w:ascii="宋体" w:hAnsi="宋体" w:eastAsia="宋体"/>
                <w:sz w:val="16"/>
              </w:rPr>
              <w:t>提高农村居民的生活水平和幸福感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175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6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AA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30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0A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F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3B9C">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42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7DF1D">
            <w:pPr>
              <w:jc w:val="center"/>
            </w:pPr>
          </w:p>
        </w:tc>
      </w:tr>
      <w:tr w14:paraId="3A5D3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87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69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51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138D">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CD5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23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D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FD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F3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1F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0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8F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5BB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A29F2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F5F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12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0C2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C9C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376833"/>
        </w:tc>
      </w:tr>
    </w:tbl>
    <w:p w14:paraId="512C46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BBD1BB">
        <w:tblPrEx>
          <w:tblCellMar>
            <w:top w:w="0" w:type="dxa"/>
            <w:left w:w="108" w:type="dxa"/>
            <w:bottom w:w="0" w:type="dxa"/>
            <w:right w:w="108" w:type="dxa"/>
          </w:tblCellMar>
        </w:tblPrEx>
        <w:tc>
          <w:tcPr>
            <w:tcW w:w="8848" w:type="dxa"/>
            <w:gridSpan w:val="14"/>
            <w:vAlign w:val="center"/>
          </w:tcPr>
          <w:p w14:paraId="39ABDB1D">
            <w:pPr>
              <w:jc w:val="center"/>
            </w:pPr>
            <w:r>
              <w:rPr>
                <w:rFonts w:ascii="宋体" w:hAnsi="宋体" w:eastAsia="宋体"/>
                <w:sz w:val="24"/>
              </w:rPr>
              <w:t>项目支出绩效自评表</w:t>
            </w:r>
          </w:p>
        </w:tc>
      </w:tr>
      <w:tr w14:paraId="4AB0C7B7">
        <w:tblPrEx>
          <w:tblCellMar>
            <w:top w:w="0" w:type="dxa"/>
            <w:left w:w="108" w:type="dxa"/>
            <w:bottom w:w="0" w:type="dxa"/>
            <w:right w:w="108" w:type="dxa"/>
          </w:tblCellMar>
        </w:tblPrEx>
        <w:tc>
          <w:tcPr>
            <w:tcW w:w="8848" w:type="dxa"/>
            <w:gridSpan w:val="14"/>
            <w:vAlign w:val="center"/>
          </w:tcPr>
          <w:p w14:paraId="1A4F0A99">
            <w:pPr>
              <w:jc w:val="center"/>
            </w:pPr>
            <w:r>
              <w:rPr>
                <w:rFonts w:ascii="宋体" w:hAnsi="宋体" w:eastAsia="宋体"/>
                <w:sz w:val="24"/>
              </w:rPr>
              <w:t>(2024年度)</w:t>
            </w:r>
          </w:p>
        </w:tc>
      </w:tr>
      <w:tr w14:paraId="3B8804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CC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DD5D7">
            <w:pPr>
              <w:jc w:val="center"/>
            </w:pPr>
            <w:r>
              <w:rPr>
                <w:rFonts w:ascii="宋体" w:hAnsi="宋体" w:eastAsia="宋体"/>
                <w:sz w:val="16"/>
              </w:rPr>
              <w:t>G219线国道建设土地补偿款项目</w:t>
            </w:r>
          </w:p>
        </w:tc>
      </w:tr>
      <w:tr w14:paraId="7F51D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9B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36257">
            <w:pPr>
              <w:jc w:val="center"/>
            </w:pPr>
            <w:r>
              <w:rPr>
                <w:rFonts w:ascii="宋体" w:hAnsi="宋体" w:eastAsia="宋体"/>
                <w:sz w:val="16"/>
              </w:rPr>
              <w:t>岳普湖县色也克乡人民政府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12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DCB4EB">
            <w:pPr>
              <w:jc w:val="center"/>
            </w:pPr>
            <w:r>
              <w:rPr>
                <w:rFonts w:ascii="宋体" w:hAnsi="宋体" w:eastAsia="宋体"/>
                <w:sz w:val="16"/>
              </w:rPr>
              <w:t>岳普湖县色也克乡人民政府</w:t>
            </w:r>
          </w:p>
        </w:tc>
      </w:tr>
      <w:tr w14:paraId="3DD173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69B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619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C1E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5D0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D5D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AFE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E6F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4D0F">
            <w:pPr>
              <w:jc w:val="center"/>
            </w:pPr>
            <w:r>
              <w:rPr>
                <w:rFonts w:ascii="宋体" w:hAnsi="宋体" w:eastAsia="宋体"/>
                <w:sz w:val="16"/>
              </w:rPr>
              <w:t>得分</w:t>
            </w:r>
          </w:p>
        </w:tc>
      </w:tr>
      <w:tr w14:paraId="6C866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DC0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4C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272F5">
            <w:pPr>
              <w:jc w:val="center"/>
            </w:pPr>
            <w:r>
              <w:rPr>
                <w:rFonts w:ascii="宋体" w:hAnsi="宋体" w:eastAsia="宋体"/>
                <w:sz w:val="16"/>
              </w:rPr>
              <w:t>103.05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1CC7">
            <w:pPr>
              <w:jc w:val="center"/>
            </w:pPr>
            <w:r>
              <w:rPr>
                <w:rFonts w:ascii="宋体" w:hAnsi="宋体" w:eastAsia="宋体"/>
                <w:sz w:val="16"/>
              </w:rPr>
              <w:t>103.05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8C49A">
            <w:pPr>
              <w:jc w:val="center"/>
            </w:pPr>
            <w:r>
              <w:rPr>
                <w:rFonts w:ascii="宋体" w:hAnsi="宋体" w:eastAsia="宋体"/>
                <w:sz w:val="16"/>
              </w:rPr>
              <w:t>103.05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332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E3D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170B">
            <w:pPr>
              <w:jc w:val="center"/>
            </w:pPr>
            <w:r>
              <w:rPr>
                <w:rFonts w:ascii="宋体" w:hAnsi="宋体" w:eastAsia="宋体"/>
                <w:sz w:val="16"/>
              </w:rPr>
              <w:t>10.00分</w:t>
            </w:r>
          </w:p>
        </w:tc>
      </w:tr>
      <w:tr w14:paraId="43036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23B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B2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EA42">
            <w:pPr>
              <w:jc w:val="center"/>
            </w:pPr>
            <w:r>
              <w:rPr>
                <w:rFonts w:ascii="宋体" w:hAnsi="宋体" w:eastAsia="宋体"/>
                <w:sz w:val="16"/>
              </w:rPr>
              <w:t>103.05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E1BE6">
            <w:pPr>
              <w:jc w:val="center"/>
            </w:pPr>
            <w:r>
              <w:rPr>
                <w:rFonts w:ascii="宋体" w:hAnsi="宋体" w:eastAsia="宋体"/>
                <w:sz w:val="16"/>
              </w:rPr>
              <w:t>103.05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5BDFE">
            <w:pPr>
              <w:jc w:val="center"/>
            </w:pPr>
            <w:r>
              <w:rPr>
                <w:rFonts w:ascii="宋体" w:hAnsi="宋体" w:eastAsia="宋体"/>
                <w:sz w:val="16"/>
              </w:rPr>
              <w:t>103.05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196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17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B506">
            <w:pPr>
              <w:jc w:val="center"/>
            </w:pPr>
            <w:r>
              <w:rPr>
                <w:rFonts w:ascii="宋体" w:hAnsi="宋体" w:eastAsia="宋体"/>
                <w:sz w:val="16"/>
              </w:rPr>
              <w:t>—</w:t>
            </w:r>
          </w:p>
        </w:tc>
      </w:tr>
      <w:tr w14:paraId="49F35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BF2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95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4B2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F69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C67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5C3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27C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01D7">
            <w:pPr>
              <w:jc w:val="center"/>
            </w:pPr>
            <w:r>
              <w:rPr>
                <w:rFonts w:ascii="宋体" w:hAnsi="宋体" w:eastAsia="宋体"/>
                <w:sz w:val="16"/>
              </w:rPr>
              <w:t>—</w:t>
            </w:r>
          </w:p>
        </w:tc>
      </w:tr>
      <w:tr w14:paraId="3F76C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D2D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37AF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8FE254">
            <w:pPr>
              <w:jc w:val="center"/>
            </w:pPr>
            <w:r>
              <w:rPr>
                <w:rFonts w:ascii="宋体" w:hAnsi="宋体" w:eastAsia="宋体"/>
                <w:sz w:val="16"/>
              </w:rPr>
              <w:t>实际完成情况</w:t>
            </w:r>
          </w:p>
        </w:tc>
      </w:tr>
      <w:tr w14:paraId="33B74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062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1974E">
            <w:pPr>
              <w:jc w:val="both"/>
            </w:pPr>
            <w:r>
              <w:rPr>
                <w:rFonts w:ascii="宋体" w:hAnsi="宋体" w:eastAsia="宋体"/>
                <w:sz w:val="16"/>
              </w:rPr>
              <w:t>根据岳普湖县实际情况，为坚守土地公有制性质不改变、耕地红线不突破、农民利益不受损三条底线，按照土地征收费用按原自治区人民政府公布的征地区片综合地价执行，土地补偿费发放人数37人（其中：乡布力曼9村7人、新古力巴格10村24人、央塔克勒克11村1人、尤库日艾曼里克12村5人）。通过项目的实施提升业务保障能力和社会服务能力，保障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1D85D">
            <w:pPr>
              <w:jc w:val="both"/>
            </w:pPr>
            <w:r>
              <w:rPr>
                <w:rFonts w:ascii="宋体" w:hAnsi="宋体" w:eastAsia="宋体"/>
                <w:sz w:val="16"/>
              </w:rPr>
              <w:t>项目已完成色也克乡G219线国道建设土地补偿款支付任务，土地补偿费发放人数37人（其中：乡布力曼9村7人、新古力巴格10村24人、央塔克勒克11村1人、尤库日艾曼里克12村5人）。预算执行率100%。通过项目的实施有效提升业务保障能力和社会服务能力，保障为群众提供政府性公共服务。项目的受益人员满意度为100%。</w:t>
            </w:r>
          </w:p>
        </w:tc>
      </w:tr>
      <w:tr w14:paraId="2A36DA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BCA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21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98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93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E6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B4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2C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FD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45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36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4B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D2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8EA84">
            <w:pPr>
              <w:jc w:val="center"/>
            </w:pPr>
            <w:r>
              <w:rPr>
                <w:rFonts w:ascii="宋体" w:hAnsi="宋体" w:eastAsia="宋体"/>
                <w:sz w:val="16"/>
              </w:rPr>
              <w:t>偏差原因分析及改进措施</w:t>
            </w:r>
          </w:p>
        </w:tc>
      </w:tr>
      <w:tr w14:paraId="68FC9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A07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4CD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85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9504">
            <w:pPr>
              <w:jc w:val="center"/>
            </w:pPr>
            <w:r>
              <w:rPr>
                <w:rFonts w:ascii="宋体" w:hAnsi="宋体" w:eastAsia="宋体"/>
                <w:sz w:val="16"/>
              </w:rPr>
              <w:t>土地补偿费发放人数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DC62">
            <w:pPr>
              <w:jc w:val="center"/>
            </w:pPr>
            <w:r>
              <w:rPr>
                <w:rFonts w:ascii="宋体" w:hAnsi="宋体" w:eastAsia="宋体"/>
                <w:sz w:val="16"/>
              </w:rPr>
              <w:t>&gt;=37人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1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14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B3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6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CC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6C3F">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C1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F111">
            <w:pPr>
              <w:jc w:val="center"/>
            </w:pPr>
          </w:p>
        </w:tc>
      </w:tr>
      <w:tr w14:paraId="0BB6B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51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3CA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E8B7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C037">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71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6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E1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B7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0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F0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69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27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E53F9">
            <w:pPr>
              <w:jc w:val="center"/>
            </w:pPr>
          </w:p>
        </w:tc>
      </w:tr>
      <w:tr w14:paraId="51278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63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6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C5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4B42">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8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5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F3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64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FA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F7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5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D6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C9FA3">
            <w:pPr>
              <w:jc w:val="center"/>
            </w:pPr>
          </w:p>
        </w:tc>
      </w:tr>
      <w:tr w14:paraId="389B6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E8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7D5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400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044D">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B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1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D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A9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9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0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08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47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15CF8">
            <w:pPr>
              <w:jc w:val="center"/>
            </w:pPr>
          </w:p>
        </w:tc>
      </w:tr>
      <w:tr w14:paraId="14E11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F3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95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A3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7DC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7B1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4E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6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53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75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7E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A828">
            <w:pPr>
              <w:jc w:val="center"/>
            </w:pPr>
            <w:r>
              <w:rPr>
                <w:rFonts w:ascii="宋体" w:hAnsi="宋体" w:eastAsia="宋体"/>
                <w:sz w:val="16"/>
              </w:rPr>
              <w:t>=2024年11月29日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25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A473">
            <w:pPr>
              <w:jc w:val="center"/>
            </w:pPr>
          </w:p>
        </w:tc>
      </w:tr>
      <w:tr w14:paraId="72817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F13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9E5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732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0795">
            <w:pPr>
              <w:jc w:val="center"/>
            </w:pPr>
            <w:r>
              <w:rPr>
                <w:rFonts w:ascii="宋体" w:hAnsi="宋体" w:eastAsia="宋体"/>
                <w:sz w:val="16"/>
              </w:rPr>
              <w:t>土地补偿费预算控制数（乡布力曼村）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43A0">
            <w:pPr>
              <w:jc w:val="center"/>
            </w:pPr>
            <w:r>
              <w:rPr>
                <w:rFonts w:ascii="宋体" w:hAnsi="宋体" w:eastAsia="宋体"/>
                <w:sz w:val="16"/>
              </w:rPr>
              <w:t>&lt;=21.87万元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0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DC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B1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12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48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587A">
            <w:pPr>
              <w:jc w:val="center"/>
            </w:pPr>
            <w:r>
              <w:rPr>
                <w:rFonts w:ascii="宋体" w:hAnsi="宋体" w:eastAsia="宋体"/>
                <w:sz w:val="16"/>
              </w:rPr>
              <w:t>=21.87万元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E8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2E636">
            <w:pPr>
              <w:jc w:val="center"/>
            </w:pPr>
          </w:p>
        </w:tc>
      </w:tr>
      <w:tr w14:paraId="07D5D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44C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B8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FA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7F90">
            <w:pPr>
              <w:jc w:val="center"/>
            </w:pPr>
            <w:r>
              <w:rPr>
                <w:rFonts w:ascii="宋体" w:hAnsi="宋体" w:eastAsia="宋体"/>
                <w:sz w:val="16"/>
              </w:rPr>
              <w:t>土地补偿费预算控制数（新古力巴格村）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DD0B">
            <w:pPr>
              <w:jc w:val="center"/>
            </w:pPr>
            <w:r>
              <w:rPr>
                <w:rFonts w:ascii="宋体" w:hAnsi="宋体" w:eastAsia="宋体"/>
                <w:sz w:val="16"/>
              </w:rPr>
              <w:t>&lt;=59.77万元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E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1F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CD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F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BD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FBA7">
            <w:pPr>
              <w:jc w:val="center"/>
            </w:pPr>
            <w:r>
              <w:rPr>
                <w:rFonts w:ascii="宋体" w:hAnsi="宋体" w:eastAsia="宋体"/>
                <w:sz w:val="16"/>
              </w:rPr>
              <w:t>=59.77万元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E1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2E7B4">
            <w:pPr>
              <w:jc w:val="center"/>
            </w:pPr>
          </w:p>
        </w:tc>
      </w:tr>
      <w:tr w14:paraId="7B0F7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4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B8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9A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7401">
            <w:pPr>
              <w:jc w:val="center"/>
            </w:pPr>
            <w:r>
              <w:rPr>
                <w:rFonts w:ascii="宋体" w:hAnsi="宋体" w:eastAsia="宋体"/>
                <w:sz w:val="16"/>
              </w:rPr>
              <w:t>土地补偿费预算控制数（央塔克勒克村）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C0C8">
            <w:pPr>
              <w:jc w:val="center"/>
            </w:pPr>
            <w:r>
              <w:rPr>
                <w:rFonts w:ascii="宋体" w:hAnsi="宋体" w:eastAsia="宋体"/>
                <w:sz w:val="16"/>
              </w:rPr>
              <w:t>&lt;=0.22万元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1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EF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57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6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63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8FC2">
            <w:pPr>
              <w:jc w:val="center"/>
            </w:pPr>
            <w:r>
              <w:rPr>
                <w:rFonts w:ascii="宋体" w:hAnsi="宋体" w:eastAsia="宋体"/>
                <w:sz w:val="16"/>
              </w:rPr>
              <w:t>=0.22万元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ED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4839F">
            <w:pPr>
              <w:jc w:val="center"/>
            </w:pPr>
          </w:p>
        </w:tc>
      </w:tr>
      <w:tr w14:paraId="79FA7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99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E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A53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EA53">
            <w:pPr>
              <w:jc w:val="center"/>
            </w:pPr>
            <w:r>
              <w:rPr>
                <w:rFonts w:ascii="宋体" w:hAnsi="宋体" w:eastAsia="宋体"/>
                <w:sz w:val="16"/>
              </w:rPr>
              <w:t>土地补偿费预算控制数（尤库日艾曼里克村）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7576">
            <w:pPr>
              <w:jc w:val="center"/>
            </w:pPr>
            <w:r>
              <w:rPr>
                <w:rFonts w:ascii="宋体" w:hAnsi="宋体" w:eastAsia="宋体"/>
                <w:sz w:val="16"/>
              </w:rPr>
              <w:t>&lt;=21.19万元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A6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F7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BA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3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F9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7129">
            <w:pPr>
              <w:jc w:val="center"/>
            </w:pPr>
            <w:r>
              <w:rPr>
                <w:rFonts w:ascii="宋体" w:hAnsi="宋体" w:eastAsia="宋体"/>
                <w:sz w:val="16"/>
              </w:rPr>
              <w:t>=21.19万元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1A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877B">
            <w:pPr>
              <w:jc w:val="center"/>
            </w:pPr>
          </w:p>
        </w:tc>
      </w:tr>
      <w:tr w14:paraId="763DF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DE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BF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78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48CF">
            <w:pPr>
              <w:jc w:val="center"/>
            </w:pPr>
            <w:r>
              <w:rPr>
                <w:rFonts w:ascii="宋体" w:hAnsi="宋体" w:eastAsia="宋体"/>
                <w:sz w:val="16"/>
              </w:rPr>
              <w:t>提升业务保障能力和社会服务能力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EC8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3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2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5B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CC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AF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A78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797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C82EF">
            <w:pPr>
              <w:jc w:val="center"/>
            </w:pPr>
          </w:p>
        </w:tc>
      </w:tr>
      <w:tr w14:paraId="1CA46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7B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F6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CD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062A">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EA7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0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5F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DB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0E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81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5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7A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FD9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0C63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83C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7F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AD5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678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EC1995"/>
        </w:tc>
      </w:tr>
    </w:tbl>
    <w:p w14:paraId="34411E8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A4269CF">
        <w:tblPrEx>
          <w:tblCellMar>
            <w:top w:w="0" w:type="dxa"/>
            <w:left w:w="108" w:type="dxa"/>
            <w:bottom w:w="0" w:type="dxa"/>
            <w:right w:w="108" w:type="dxa"/>
          </w:tblCellMar>
        </w:tblPrEx>
        <w:tc>
          <w:tcPr>
            <w:tcW w:w="8848" w:type="dxa"/>
            <w:gridSpan w:val="14"/>
            <w:vAlign w:val="center"/>
          </w:tcPr>
          <w:p w14:paraId="1E422EB1">
            <w:pPr>
              <w:jc w:val="center"/>
            </w:pPr>
            <w:r>
              <w:rPr>
                <w:rFonts w:ascii="宋体" w:hAnsi="宋体" w:eastAsia="宋体"/>
                <w:sz w:val="24"/>
              </w:rPr>
              <w:t>项目支出绩效自评表</w:t>
            </w:r>
          </w:p>
        </w:tc>
      </w:tr>
      <w:tr w14:paraId="2CBFC7FA">
        <w:tblPrEx>
          <w:tblCellMar>
            <w:top w:w="0" w:type="dxa"/>
            <w:left w:w="108" w:type="dxa"/>
            <w:bottom w:w="0" w:type="dxa"/>
            <w:right w:w="108" w:type="dxa"/>
          </w:tblCellMar>
        </w:tblPrEx>
        <w:tc>
          <w:tcPr>
            <w:tcW w:w="8848" w:type="dxa"/>
            <w:gridSpan w:val="14"/>
            <w:vAlign w:val="center"/>
          </w:tcPr>
          <w:p w14:paraId="68396B60">
            <w:pPr>
              <w:jc w:val="center"/>
            </w:pPr>
            <w:r>
              <w:rPr>
                <w:rFonts w:ascii="宋体" w:hAnsi="宋体" w:eastAsia="宋体"/>
                <w:sz w:val="24"/>
              </w:rPr>
              <w:t>(2024年度)</w:t>
            </w:r>
          </w:p>
        </w:tc>
      </w:tr>
      <w:tr w14:paraId="48907A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DC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F247B8">
            <w:pPr>
              <w:jc w:val="center"/>
            </w:pPr>
            <w:r>
              <w:rPr>
                <w:rFonts w:ascii="宋体" w:hAnsi="宋体" w:eastAsia="宋体"/>
                <w:sz w:val="16"/>
              </w:rPr>
              <w:t>色也克乡农业生产设备项目</w:t>
            </w:r>
          </w:p>
        </w:tc>
      </w:tr>
      <w:tr w14:paraId="53A7C8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A2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F53BC">
            <w:pPr>
              <w:jc w:val="center"/>
            </w:pPr>
            <w:r>
              <w:rPr>
                <w:rFonts w:ascii="宋体" w:hAnsi="宋体" w:eastAsia="宋体"/>
                <w:sz w:val="16"/>
              </w:rPr>
              <w:t>岳普湖县色也克乡人民政府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9C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64FECB">
            <w:pPr>
              <w:jc w:val="center"/>
            </w:pPr>
            <w:r>
              <w:rPr>
                <w:rFonts w:ascii="宋体" w:hAnsi="宋体" w:eastAsia="宋体"/>
                <w:sz w:val="16"/>
              </w:rPr>
              <w:t>岳普湖县色也克乡人民政府</w:t>
            </w:r>
          </w:p>
        </w:tc>
      </w:tr>
      <w:tr w14:paraId="2138D5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999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4F4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54F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2CA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8FE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17E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510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91CF">
            <w:pPr>
              <w:jc w:val="center"/>
            </w:pPr>
            <w:r>
              <w:rPr>
                <w:rFonts w:ascii="宋体" w:hAnsi="宋体" w:eastAsia="宋体"/>
                <w:sz w:val="16"/>
              </w:rPr>
              <w:t>得分</w:t>
            </w:r>
          </w:p>
        </w:tc>
      </w:tr>
      <w:tr w14:paraId="6EBEF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DF0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5B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396BB">
            <w:pPr>
              <w:jc w:val="center"/>
            </w:pPr>
            <w:r>
              <w:rPr>
                <w:rFonts w:ascii="宋体" w:hAnsi="宋体" w:eastAsia="宋体"/>
                <w:sz w:val="16"/>
              </w:rPr>
              <w:t>59.98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CF090">
            <w:pPr>
              <w:jc w:val="center"/>
            </w:pPr>
            <w:r>
              <w:rPr>
                <w:rFonts w:ascii="宋体" w:hAnsi="宋体" w:eastAsia="宋体"/>
                <w:sz w:val="16"/>
              </w:rPr>
              <w:t>59.98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176C2">
            <w:pPr>
              <w:jc w:val="center"/>
            </w:pPr>
            <w:r>
              <w:rPr>
                <w:rFonts w:ascii="宋体" w:hAnsi="宋体" w:eastAsia="宋体"/>
                <w:sz w:val="16"/>
              </w:rPr>
              <w:t>59.98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538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11A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CA35">
            <w:pPr>
              <w:jc w:val="center"/>
            </w:pPr>
            <w:r>
              <w:rPr>
                <w:rFonts w:ascii="宋体" w:hAnsi="宋体" w:eastAsia="宋体"/>
                <w:sz w:val="16"/>
              </w:rPr>
              <w:t>10.00分</w:t>
            </w:r>
          </w:p>
        </w:tc>
      </w:tr>
      <w:tr w14:paraId="1A6BE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D27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9F7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40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0DB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741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4CE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83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992C">
            <w:pPr>
              <w:jc w:val="center"/>
            </w:pPr>
            <w:r>
              <w:rPr>
                <w:rFonts w:ascii="宋体" w:hAnsi="宋体" w:eastAsia="宋体"/>
                <w:sz w:val="16"/>
              </w:rPr>
              <w:t>—</w:t>
            </w:r>
          </w:p>
        </w:tc>
      </w:tr>
      <w:tr w14:paraId="4C948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052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02A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AD422">
            <w:pPr>
              <w:jc w:val="center"/>
            </w:pPr>
            <w:r>
              <w:rPr>
                <w:rFonts w:ascii="宋体" w:hAnsi="宋体" w:eastAsia="宋体"/>
                <w:sz w:val="16"/>
              </w:rPr>
              <w:t>59.98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C810">
            <w:pPr>
              <w:jc w:val="center"/>
            </w:pPr>
            <w:r>
              <w:rPr>
                <w:rFonts w:ascii="宋体" w:hAnsi="宋体" w:eastAsia="宋体"/>
                <w:sz w:val="16"/>
              </w:rPr>
              <w:t>59.98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DDF9">
            <w:pPr>
              <w:jc w:val="center"/>
            </w:pPr>
            <w:r>
              <w:rPr>
                <w:rFonts w:ascii="宋体" w:hAnsi="宋体" w:eastAsia="宋体"/>
                <w:sz w:val="16"/>
              </w:rPr>
              <w:t>59.98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271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BD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9C65">
            <w:pPr>
              <w:jc w:val="center"/>
            </w:pPr>
            <w:r>
              <w:rPr>
                <w:rFonts w:ascii="宋体" w:hAnsi="宋体" w:eastAsia="宋体"/>
                <w:sz w:val="16"/>
              </w:rPr>
              <w:t>—</w:t>
            </w:r>
          </w:p>
        </w:tc>
      </w:tr>
      <w:tr w14:paraId="5F1C8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5C8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E7B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40CAB9">
            <w:pPr>
              <w:jc w:val="center"/>
            </w:pPr>
            <w:r>
              <w:rPr>
                <w:rFonts w:ascii="宋体" w:hAnsi="宋体" w:eastAsia="宋体"/>
                <w:sz w:val="16"/>
              </w:rPr>
              <w:t>实际完成情况</w:t>
            </w:r>
          </w:p>
        </w:tc>
      </w:tr>
      <w:tr w14:paraId="5C0A5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F47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19B19">
            <w:pPr>
              <w:jc w:val="both"/>
            </w:pPr>
            <w:r>
              <w:rPr>
                <w:rFonts w:ascii="宋体" w:hAnsi="宋体" w:eastAsia="宋体"/>
                <w:sz w:val="16"/>
              </w:rPr>
              <w:t>根据岳普湖县实际情况，为履行社会责任，促进农业现代化进程，由中国物流集团有限公司向色也克乡捐赠农业机械设备及配套设备，捐赠机械设备及配套设备数量7台。通过项目的实施有利于提高农业生产效率，有利于推动岳普湖县农业现代化发展，有利于提升农产品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92476">
            <w:pPr>
              <w:jc w:val="both"/>
            </w:pPr>
            <w:r>
              <w:rPr>
                <w:rFonts w:ascii="宋体" w:hAnsi="宋体" w:eastAsia="宋体"/>
                <w:sz w:val="16"/>
              </w:rPr>
              <w:t>项目已完成中国物流集团有限公司向色也克乡捐赠农业机械设备及配套设备，当年度项目资金支付任务。捐赠机械设备及配套设备数量7台。预算执行率100%。通过项目的实施提高农业生产效率，有效推动岳普湖县农业现代化发展，提升农产品质量。项目的受益人员满意度为100%。</w:t>
            </w:r>
          </w:p>
        </w:tc>
      </w:tr>
      <w:tr w14:paraId="428B0D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81D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FD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D3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28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56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8F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BC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F4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1D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63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CA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7C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8706C">
            <w:pPr>
              <w:jc w:val="center"/>
            </w:pPr>
            <w:r>
              <w:rPr>
                <w:rFonts w:ascii="宋体" w:hAnsi="宋体" w:eastAsia="宋体"/>
                <w:sz w:val="16"/>
              </w:rPr>
              <w:t>偏差原因分析及改进措施</w:t>
            </w:r>
          </w:p>
        </w:tc>
      </w:tr>
      <w:tr w14:paraId="190461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4B2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5E8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D3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A813">
            <w:pPr>
              <w:jc w:val="center"/>
            </w:pPr>
            <w:r>
              <w:rPr>
                <w:rFonts w:ascii="宋体" w:hAnsi="宋体" w:eastAsia="宋体"/>
                <w:sz w:val="16"/>
              </w:rPr>
              <w:t>捐赠机械设备及配套设备数量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EE5D">
            <w:pPr>
              <w:jc w:val="center"/>
            </w:pPr>
            <w:r>
              <w:rPr>
                <w:rFonts w:ascii="宋体" w:hAnsi="宋体" w:eastAsia="宋体"/>
                <w:sz w:val="16"/>
              </w:rPr>
              <w:t>&gt;=7台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E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F7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E1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38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F6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6973">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5A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6A5E">
            <w:pPr>
              <w:jc w:val="center"/>
            </w:pPr>
          </w:p>
        </w:tc>
      </w:tr>
      <w:tr w14:paraId="50BC6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E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8DE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833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35DF">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A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A2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BF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02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F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F9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C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CE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6CA4F">
            <w:pPr>
              <w:jc w:val="center"/>
            </w:pPr>
          </w:p>
        </w:tc>
      </w:tr>
      <w:tr w14:paraId="2420C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EF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F2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1A7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13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9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3B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36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76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6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61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30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00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0C616">
            <w:pPr>
              <w:jc w:val="center"/>
            </w:pPr>
          </w:p>
        </w:tc>
      </w:tr>
      <w:tr w14:paraId="2C880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F4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90F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7E0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A968">
            <w:pPr>
              <w:jc w:val="center"/>
            </w:pPr>
            <w:r>
              <w:rPr>
                <w:rFonts w:ascii="宋体" w:hAnsi="宋体" w:eastAsia="宋体"/>
                <w:sz w:val="16"/>
              </w:rPr>
              <w:t>采购到位及时率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8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A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83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19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57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22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5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C4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C5C77">
            <w:pPr>
              <w:jc w:val="center"/>
            </w:pPr>
          </w:p>
        </w:tc>
      </w:tr>
      <w:tr w14:paraId="0210E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26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CC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00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204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D09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9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7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32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8C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8F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2147">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EE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4A0E">
            <w:pPr>
              <w:jc w:val="center"/>
            </w:pPr>
          </w:p>
        </w:tc>
      </w:tr>
      <w:tr w14:paraId="05D95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16F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4F9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D2E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0928">
            <w:pPr>
              <w:jc w:val="center"/>
            </w:pPr>
            <w:r>
              <w:rPr>
                <w:rFonts w:ascii="宋体" w:hAnsi="宋体" w:eastAsia="宋体"/>
                <w:sz w:val="16"/>
              </w:rPr>
              <w:t>挖掘机预算控制数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BAA7">
            <w:pPr>
              <w:jc w:val="center"/>
            </w:pPr>
            <w:r>
              <w:rPr>
                <w:rFonts w:ascii="宋体" w:hAnsi="宋体" w:eastAsia="宋体"/>
                <w:sz w:val="16"/>
              </w:rPr>
              <w:t>&lt;=18.00万元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3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48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E4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1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DF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7255">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CF5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D1CB">
            <w:pPr>
              <w:jc w:val="center"/>
            </w:pPr>
          </w:p>
        </w:tc>
      </w:tr>
      <w:tr w14:paraId="17507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93F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59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BC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99B9">
            <w:pPr>
              <w:jc w:val="center"/>
            </w:pPr>
            <w:r>
              <w:rPr>
                <w:rFonts w:ascii="宋体" w:hAnsi="宋体" w:eastAsia="宋体"/>
                <w:sz w:val="16"/>
              </w:rPr>
              <w:t>拖拉机预算控制数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16D9">
            <w:pPr>
              <w:jc w:val="center"/>
            </w:pPr>
            <w:r>
              <w:rPr>
                <w:rFonts w:ascii="宋体" w:hAnsi="宋体" w:eastAsia="宋体"/>
                <w:sz w:val="16"/>
              </w:rPr>
              <w:t>&lt;=30.50万元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3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99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D3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BA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83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460A">
            <w:pPr>
              <w:jc w:val="center"/>
            </w:pPr>
            <w:r>
              <w:rPr>
                <w:rFonts w:ascii="宋体" w:hAnsi="宋体" w:eastAsia="宋体"/>
                <w:sz w:val="16"/>
              </w:rPr>
              <w:t>=30.5万元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1F7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98BFB">
            <w:pPr>
              <w:jc w:val="center"/>
            </w:pPr>
          </w:p>
        </w:tc>
      </w:tr>
      <w:tr w14:paraId="25BEB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F5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46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C5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0ACB">
            <w:pPr>
              <w:jc w:val="center"/>
            </w:pPr>
            <w:r>
              <w:rPr>
                <w:rFonts w:ascii="宋体" w:hAnsi="宋体" w:eastAsia="宋体"/>
                <w:sz w:val="16"/>
              </w:rPr>
              <w:t>种植施肥机械及配套设备预算控制数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43E">
            <w:pPr>
              <w:jc w:val="center"/>
            </w:pPr>
            <w:r>
              <w:rPr>
                <w:rFonts w:ascii="宋体" w:hAnsi="宋体" w:eastAsia="宋体"/>
                <w:sz w:val="16"/>
              </w:rPr>
              <w:t>&lt;=11.48万元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9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41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CF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9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DB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1DE0">
            <w:pPr>
              <w:jc w:val="center"/>
            </w:pPr>
            <w:r>
              <w:rPr>
                <w:rFonts w:ascii="宋体" w:hAnsi="宋体" w:eastAsia="宋体"/>
                <w:sz w:val="16"/>
              </w:rPr>
              <w:t>=11.48万元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FE9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D90DB">
            <w:pPr>
              <w:jc w:val="center"/>
            </w:pPr>
          </w:p>
        </w:tc>
      </w:tr>
      <w:tr w14:paraId="3B763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92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AE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0E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B3F0">
            <w:pPr>
              <w:jc w:val="center"/>
            </w:pPr>
            <w:r>
              <w:rPr>
                <w:rFonts w:ascii="宋体" w:hAnsi="宋体" w:eastAsia="宋体"/>
                <w:sz w:val="16"/>
              </w:rPr>
              <w:t>推动岳普湖县农业现代化发展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8235">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8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F5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83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CF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6C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A9F0">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E7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CFFD7">
            <w:pPr>
              <w:jc w:val="center"/>
            </w:pPr>
          </w:p>
        </w:tc>
      </w:tr>
      <w:tr w14:paraId="668DA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5D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3E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5C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AD5E">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703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1C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47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75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E6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4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0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56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B9E1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8E66D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319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CA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D6B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F3C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173E2A"/>
        </w:tc>
      </w:tr>
    </w:tbl>
    <w:p w14:paraId="7D32339C">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0E6B8263">
        <w:tblPrEx>
          <w:tblCellMar>
            <w:top w:w="0" w:type="dxa"/>
            <w:left w:w="108" w:type="dxa"/>
            <w:bottom w:w="0" w:type="dxa"/>
            <w:right w:w="108" w:type="dxa"/>
          </w:tblCellMar>
        </w:tblPrEx>
        <w:tc>
          <w:tcPr>
            <w:tcW w:w="8848" w:type="dxa"/>
            <w:gridSpan w:val="14"/>
            <w:vAlign w:val="center"/>
          </w:tcPr>
          <w:p w14:paraId="7E7D636C">
            <w:pPr>
              <w:jc w:val="center"/>
            </w:pPr>
            <w:r>
              <w:rPr>
                <w:rFonts w:ascii="宋体" w:hAnsi="宋体" w:eastAsia="宋体"/>
                <w:sz w:val="24"/>
              </w:rPr>
              <w:t>项目支出绩效自评表</w:t>
            </w:r>
          </w:p>
        </w:tc>
      </w:tr>
      <w:tr w14:paraId="7F856190">
        <w:tblPrEx>
          <w:tblCellMar>
            <w:top w:w="0" w:type="dxa"/>
            <w:left w:w="108" w:type="dxa"/>
            <w:bottom w:w="0" w:type="dxa"/>
            <w:right w:w="108" w:type="dxa"/>
          </w:tblCellMar>
        </w:tblPrEx>
        <w:tc>
          <w:tcPr>
            <w:tcW w:w="8848" w:type="dxa"/>
            <w:gridSpan w:val="14"/>
            <w:vAlign w:val="center"/>
          </w:tcPr>
          <w:p w14:paraId="759B7480">
            <w:pPr>
              <w:jc w:val="center"/>
            </w:pPr>
            <w:r>
              <w:rPr>
                <w:rFonts w:ascii="宋体" w:hAnsi="宋体" w:eastAsia="宋体"/>
                <w:sz w:val="24"/>
              </w:rPr>
              <w:t>(2024年度)</w:t>
            </w:r>
          </w:p>
        </w:tc>
      </w:tr>
      <w:tr w14:paraId="5810B1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08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400BD1">
            <w:pPr>
              <w:jc w:val="center"/>
            </w:pPr>
            <w:r>
              <w:rPr>
                <w:rFonts w:ascii="宋体" w:hAnsi="宋体" w:eastAsia="宋体"/>
                <w:sz w:val="16"/>
              </w:rPr>
              <w:t>色也克乡援疆资金项目</w:t>
            </w:r>
          </w:p>
        </w:tc>
      </w:tr>
      <w:tr w14:paraId="499F4E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9C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AAD26">
            <w:pPr>
              <w:jc w:val="center"/>
            </w:pPr>
            <w:r>
              <w:rPr>
                <w:rFonts w:ascii="宋体" w:hAnsi="宋体" w:eastAsia="宋体"/>
                <w:sz w:val="16"/>
              </w:rPr>
              <w:t>岳普湖县色也克乡人民政府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63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FA8395">
            <w:pPr>
              <w:jc w:val="center"/>
            </w:pPr>
            <w:r>
              <w:rPr>
                <w:rFonts w:ascii="宋体" w:hAnsi="宋体" w:eastAsia="宋体"/>
                <w:sz w:val="16"/>
              </w:rPr>
              <w:t>岳普湖县色也克乡人民政府</w:t>
            </w:r>
          </w:p>
        </w:tc>
      </w:tr>
      <w:tr w14:paraId="40DFA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D5B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F6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824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E7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4CA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71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71F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A788">
            <w:pPr>
              <w:jc w:val="center"/>
            </w:pPr>
            <w:r>
              <w:rPr>
                <w:rFonts w:ascii="宋体" w:hAnsi="宋体" w:eastAsia="宋体"/>
                <w:sz w:val="16"/>
              </w:rPr>
              <w:t>得分</w:t>
            </w:r>
          </w:p>
        </w:tc>
      </w:tr>
      <w:tr w14:paraId="14F33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EC4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3FB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A5E88">
            <w:pPr>
              <w:jc w:val="center"/>
            </w:pPr>
            <w:r>
              <w:rPr>
                <w:rFonts w:ascii="宋体" w:hAnsi="宋体" w:eastAsia="宋体"/>
                <w:sz w:val="16"/>
              </w:rPr>
              <w:t>201.16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6EA7">
            <w:pPr>
              <w:jc w:val="center"/>
            </w:pPr>
            <w:r>
              <w:rPr>
                <w:rFonts w:ascii="宋体" w:hAnsi="宋体" w:eastAsia="宋体"/>
                <w:sz w:val="16"/>
              </w:rPr>
              <w:t>201.16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923C">
            <w:pPr>
              <w:jc w:val="center"/>
            </w:pPr>
            <w:r>
              <w:rPr>
                <w:rFonts w:ascii="宋体" w:hAnsi="宋体" w:eastAsia="宋体"/>
                <w:sz w:val="16"/>
              </w:rPr>
              <w:t>201.16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3D8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4B81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0C16">
            <w:pPr>
              <w:jc w:val="center"/>
            </w:pPr>
            <w:r>
              <w:rPr>
                <w:rFonts w:ascii="宋体" w:hAnsi="宋体" w:eastAsia="宋体"/>
                <w:sz w:val="16"/>
              </w:rPr>
              <w:t>10.00分</w:t>
            </w:r>
          </w:p>
        </w:tc>
      </w:tr>
      <w:tr w14:paraId="18FDD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7AF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54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DC7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0F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1FE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EDA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FD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AC13">
            <w:pPr>
              <w:jc w:val="center"/>
            </w:pPr>
            <w:r>
              <w:rPr>
                <w:rFonts w:ascii="宋体" w:hAnsi="宋体" w:eastAsia="宋体"/>
                <w:sz w:val="16"/>
              </w:rPr>
              <w:t>—</w:t>
            </w:r>
          </w:p>
        </w:tc>
      </w:tr>
      <w:tr w14:paraId="67540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895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66C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349ED">
            <w:pPr>
              <w:jc w:val="center"/>
            </w:pPr>
            <w:r>
              <w:rPr>
                <w:rFonts w:ascii="宋体" w:hAnsi="宋体" w:eastAsia="宋体"/>
                <w:sz w:val="16"/>
              </w:rPr>
              <w:t>201.16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E94B">
            <w:pPr>
              <w:jc w:val="center"/>
            </w:pPr>
            <w:r>
              <w:rPr>
                <w:rFonts w:ascii="宋体" w:hAnsi="宋体" w:eastAsia="宋体"/>
                <w:sz w:val="16"/>
              </w:rPr>
              <w:t>201.16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5EAB7">
            <w:pPr>
              <w:jc w:val="center"/>
            </w:pPr>
            <w:r>
              <w:rPr>
                <w:rFonts w:ascii="宋体" w:hAnsi="宋体" w:eastAsia="宋体"/>
                <w:sz w:val="16"/>
              </w:rPr>
              <w:t>201.16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94B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F5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68B4">
            <w:pPr>
              <w:jc w:val="center"/>
            </w:pPr>
            <w:r>
              <w:rPr>
                <w:rFonts w:ascii="宋体" w:hAnsi="宋体" w:eastAsia="宋体"/>
                <w:sz w:val="16"/>
              </w:rPr>
              <w:t>—</w:t>
            </w:r>
          </w:p>
        </w:tc>
      </w:tr>
      <w:tr w14:paraId="27F944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771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0B30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8EC2E0">
            <w:pPr>
              <w:jc w:val="center"/>
            </w:pPr>
            <w:r>
              <w:rPr>
                <w:rFonts w:ascii="宋体" w:hAnsi="宋体" w:eastAsia="宋体"/>
                <w:sz w:val="16"/>
              </w:rPr>
              <w:t>实际完成情况</w:t>
            </w:r>
          </w:p>
        </w:tc>
      </w:tr>
      <w:tr w14:paraId="040BB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D25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4630A">
            <w:pPr>
              <w:jc w:val="both"/>
            </w:pPr>
            <w:r>
              <w:rPr>
                <w:rFonts w:ascii="宋体" w:hAnsi="宋体" w:eastAsia="宋体"/>
                <w:sz w:val="16"/>
              </w:rPr>
              <w:t>根据岳普湖县实际情况，为响应地委扩大会议精神，持续深化对口援疆工作。对色也克乡提供援疆资金保障，完成乡村振兴等项目。援疆资金保障项目数量3个。通过项目的实施推动受援地经济发展和民生改善，为援疆工作高质量发展作出新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EF9800">
            <w:pPr>
              <w:jc w:val="both"/>
            </w:pPr>
            <w:r>
              <w:rPr>
                <w:rFonts w:ascii="宋体" w:hAnsi="宋体" w:eastAsia="宋体"/>
                <w:sz w:val="16"/>
              </w:rPr>
              <w:t>项目已完成色也克乡援疆资金2024年度保障任务，完成乡村振兴、文化浸润等项目慰问款、进度款、审计费等支付任务。援疆资金保障项目数量3个。预算执行率100%。通过项目的实施有效推动受援地经济发展和民生改善，为援疆工作高质量发展作出新贡献。</w:t>
            </w:r>
          </w:p>
        </w:tc>
      </w:tr>
      <w:tr w14:paraId="0DAE11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24B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0F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A4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CB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F1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6D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45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67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E5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00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07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98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EEE1">
            <w:pPr>
              <w:jc w:val="center"/>
            </w:pPr>
            <w:r>
              <w:rPr>
                <w:rFonts w:ascii="宋体" w:hAnsi="宋体" w:eastAsia="宋体"/>
                <w:sz w:val="16"/>
              </w:rPr>
              <w:t>偏差原因分析及改进措施</w:t>
            </w:r>
          </w:p>
        </w:tc>
      </w:tr>
      <w:tr w14:paraId="3B468E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0C4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5DA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26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08A9">
            <w:pPr>
              <w:jc w:val="center"/>
            </w:pPr>
            <w:r>
              <w:rPr>
                <w:rFonts w:ascii="宋体" w:hAnsi="宋体" w:eastAsia="宋体"/>
                <w:sz w:val="16"/>
              </w:rPr>
              <w:t>援疆资金保障项目数量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CF27">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1D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5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13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8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F9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A31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16C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2E1A3">
            <w:pPr>
              <w:jc w:val="center"/>
            </w:pPr>
          </w:p>
        </w:tc>
      </w:tr>
      <w:tr w14:paraId="5F3C4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E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367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6A1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F28A">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5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6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94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6C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25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8A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4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0B2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15739">
            <w:pPr>
              <w:jc w:val="center"/>
            </w:pPr>
          </w:p>
        </w:tc>
      </w:tr>
      <w:tr w14:paraId="53B57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9D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DF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53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C79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78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D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A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2C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F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CE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2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4B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0CB5C">
            <w:pPr>
              <w:jc w:val="center"/>
            </w:pPr>
          </w:p>
        </w:tc>
      </w:tr>
      <w:tr w14:paraId="70B6F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98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06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2FC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4D1E">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B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F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2E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CB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CF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08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0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23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29C3">
            <w:pPr>
              <w:jc w:val="center"/>
            </w:pPr>
          </w:p>
        </w:tc>
      </w:tr>
      <w:tr w14:paraId="6DE5E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06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13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50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E77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F59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11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07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30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54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7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21D8">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4B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E809A">
            <w:pPr>
              <w:jc w:val="center"/>
            </w:pPr>
          </w:p>
        </w:tc>
      </w:tr>
      <w:tr w14:paraId="24892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750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3A9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6F5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D29F">
            <w:pPr>
              <w:jc w:val="center"/>
            </w:pPr>
            <w:r>
              <w:rPr>
                <w:rFonts w:ascii="宋体" w:hAnsi="宋体" w:eastAsia="宋体"/>
                <w:sz w:val="16"/>
              </w:rPr>
              <w:t>乡村振兴部分预算控制数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827D">
            <w:pPr>
              <w:jc w:val="center"/>
            </w:pPr>
            <w:r>
              <w:rPr>
                <w:rFonts w:ascii="宋体" w:hAnsi="宋体" w:eastAsia="宋体"/>
                <w:sz w:val="16"/>
              </w:rPr>
              <w:t>&lt;=187.26万元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0C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5E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E6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CA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88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29D4">
            <w:pPr>
              <w:jc w:val="center"/>
            </w:pPr>
            <w:r>
              <w:rPr>
                <w:rFonts w:ascii="宋体" w:hAnsi="宋体" w:eastAsia="宋体"/>
                <w:sz w:val="16"/>
              </w:rPr>
              <w:t>=187.26万元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A5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22E3">
            <w:pPr>
              <w:jc w:val="center"/>
            </w:pPr>
          </w:p>
        </w:tc>
      </w:tr>
      <w:tr w14:paraId="2581B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57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63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E3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5BF4">
            <w:pPr>
              <w:jc w:val="center"/>
            </w:pPr>
            <w:r>
              <w:rPr>
                <w:rFonts w:ascii="宋体" w:hAnsi="宋体" w:eastAsia="宋体"/>
                <w:sz w:val="16"/>
              </w:rPr>
              <w:t>文化沁润项目预算控制数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9AD6">
            <w:pPr>
              <w:jc w:val="center"/>
            </w:pPr>
            <w:r>
              <w:rPr>
                <w:rFonts w:ascii="宋体" w:hAnsi="宋体" w:eastAsia="宋体"/>
                <w:sz w:val="16"/>
              </w:rPr>
              <w:t>&lt;=13.90万元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4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5B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1E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7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3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C3AB">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7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78C2">
            <w:pPr>
              <w:jc w:val="center"/>
            </w:pPr>
          </w:p>
        </w:tc>
      </w:tr>
      <w:tr w14:paraId="0074C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F7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04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ED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60DF">
            <w:pPr>
              <w:jc w:val="center"/>
            </w:pPr>
            <w:r>
              <w:rPr>
                <w:rFonts w:ascii="宋体" w:hAnsi="宋体" w:eastAsia="宋体"/>
                <w:sz w:val="16"/>
              </w:rPr>
              <w:t>推动受援地经济发展和民生改善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A4F3">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B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05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48C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A9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5A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4A75">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86B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019D">
            <w:pPr>
              <w:jc w:val="center"/>
            </w:pPr>
          </w:p>
        </w:tc>
      </w:tr>
      <w:tr w14:paraId="52BB0B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2D3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84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313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245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D560D2"/>
        </w:tc>
      </w:tr>
    </w:tbl>
    <w:p w14:paraId="3A5AF205">
      <w:r>
        <w:br w:type="page"/>
      </w:r>
    </w:p>
    <w:p w14:paraId="1511DE6D">
      <w:pPr>
        <w:spacing w:line="640" w:lineRule="exact"/>
        <w:ind w:firstLine="640"/>
        <w:jc w:val="both"/>
        <w:outlineLvl w:val="2"/>
      </w:pPr>
      <w:r>
        <w:rPr>
          <w:rFonts w:ascii="黑体" w:hAnsi="黑体" w:eastAsia="黑体"/>
          <w:sz w:val="32"/>
        </w:rPr>
        <w:t>十二、其他需说明的事项</w:t>
      </w:r>
    </w:p>
    <w:p w14:paraId="064C804B">
      <w:pPr>
        <w:spacing w:line="580" w:lineRule="exact"/>
        <w:ind w:firstLine="640"/>
        <w:jc w:val="both"/>
      </w:pPr>
      <w:r>
        <w:rPr>
          <w:rFonts w:ascii="仿宋_GB2312" w:hAnsi="仿宋_GB2312" w:eastAsia="仿宋_GB2312"/>
          <w:b w:val="0"/>
          <w:sz w:val="32"/>
        </w:rPr>
        <w:t>本单位无其他需说明的事项。</w:t>
      </w:r>
    </w:p>
    <w:p w14:paraId="644CC196">
      <w:r>
        <w:br w:type="page"/>
      </w:r>
    </w:p>
    <w:p w14:paraId="5AD30D9C">
      <w:pPr>
        <w:spacing w:line="240" w:lineRule="auto"/>
        <w:jc w:val="center"/>
        <w:outlineLvl w:val="1"/>
      </w:pPr>
      <w:r>
        <w:rPr>
          <w:rFonts w:ascii="黑体" w:hAnsi="黑体" w:eastAsia="黑体"/>
          <w:sz w:val="32"/>
        </w:rPr>
        <w:t>第三部分 专业名词解释</w:t>
      </w:r>
    </w:p>
    <w:p w14:paraId="2D2849D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CCB9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9558E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F8BF7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5C8D4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AC34A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DE11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2880C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AE07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10460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0BB1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9375E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EA56C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D9DC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F73D1B">
      <w:r>
        <w:br w:type="page"/>
      </w:r>
    </w:p>
    <w:p w14:paraId="73A840F9">
      <w:pPr>
        <w:spacing w:line="240" w:lineRule="auto"/>
        <w:jc w:val="center"/>
        <w:outlineLvl w:val="1"/>
      </w:pPr>
      <w:r>
        <w:rPr>
          <w:rFonts w:ascii="黑体" w:hAnsi="黑体" w:eastAsia="黑体"/>
          <w:sz w:val="32"/>
        </w:rPr>
        <w:t>第四部分 部门决算报表（见附表）</w:t>
      </w:r>
    </w:p>
    <w:p w14:paraId="4CBAEA3F">
      <w:pPr>
        <w:spacing w:line="240" w:lineRule="auto"/>
        <w:ind w:firstLine="640"/>
        <w:jc w:val="both"/>
      </w:pPr>
      <w:r>
        <w:rPr>
          <w:rFonts w:ascii="仿宋_GB2312" w:hAnsi="仿宋_GB2312" w:eastAsia="仿宋_GB2312"/>
          <w:b w:val="0"/>
          <w:sz w:val="32"/>
        </w:rPr>
        <w:t>一、《收入支出决算总表》</w:t>
      </w:r>
    </w:p>
    <w:p w14:paraId="05D6E750">
      <w:pPr>
        <w:spacing w:line="240" w:lineRule="auto"/>
        <w:ind w:firstLine="640"/>
        <w:jc w:val="both"/>
      </w:pPr>
      <w:r>
        <w:rPr>
          <w:rFonts w:ascii="仿宋_GB2312" w:hAnsi="仿宋_GB2312" w:eastAsia="仿宋_GB2312"/>
          <w:b w:val="0"/>
          <w:sz w:val="32"/>
        </w:rPr>
        <w:t>二、《收入决算表》</w:t>
      </w:r>
    </w:p>
    <w:p w14:paraId="72427668">
      <w:pPr>
        <w:spacing w:line="240" w:lineRule="auto"/>
        <w:ind w:firstLine="640"/>
        <w:jc w:val="both"/>
      </w:pPr>
      <w:r>
        <w:rPr>
          <w:rFonts w:ascii="仿宋_GB2312" w:hAnsi="仿宋_GB2312" w:eastAsia="仿宋_GB2312"/>
          <w:b w:val="0"/>
          <w:sz w:val="32"/>
        </w:rPr>
        <w:t>三、《支出决算表》</w:t>
      </w:r>
    </w:p>
    <w:p w14:paraId="14D62D9F">
      <w:pPr>
        <w:spacing w:line="240" w:lineRule="auto"/>
        <w:ind w:firstLine="640"/>
        <w:jc w:val="both"/>
      </w:pPr>
      <w:r>
        <w:rPr>
          <w:rFonts w:ascii="仿宋_GB2312" w:hAnsi="仿宋_GB2312" w:eastAsia="仿宋_GB2312"/>
          <w:b w:val="0"/>
          <w:sz w:val="32"/>
        </w:rPr>
        <w:t>四、《财政拨款收入支出决算总表》</w:t>
      </w:r>
    </w:p>
    <w:p w14:paraId="57B26C87">
      <w:pPr>
        <w:spacing w:line="240" w:lineRule="auto"/>
        <w:ind w:firstLine="640"/>
        <w:jc w:val="both"/>
      </w:pPr>
      <w:r>
        <w:rPr>
          <w:rFonts w:ascii="仿宋_GB2312" w:hAnsi="仿宋_GB2312" w:eastAsia="仿宋_GB2312"/>
          <w:b w:val="0"/>
          <w:sz w:val="32"/>
        </w:rPr>
        <w:t>五、《一般公共预算财政拨款支出决算表》</w:t>
      </w:r>
    </w:p>
    <w:p w14:paraId="31EC6069">
      <w:pPr>
        <w:spacing w:line="240" w:lineRule="auto"/>
        <w:ind w:firstLine="640"/>
        <w:jc w:val="both"/>
      </w:pPr>
      <w:r>
        <w:rPr>
          <w:rFonts w:ascii="仿宋_GB2312" w:hAnsi="仿宋_GB2312" w:eastAsia="仿宋_GB2312"/>
          <w:b w:val="0"/>
          <w:sz w:val="32"/>
        </w:rPr>
        <w:t>六、《一般公共预算财政拨款基本支出决算表》</w:t>
      </w:r>
    </w:p>
    <w:p w14:paraId="633B9F14">
      <w:pPr>
        <w:spacing w:line="240" w:lineRule="auto"/>
        <w:ind w:firstLine="640"/>
        <w:jc w:val="both"/>
      </w:pPr>
      <w:r>
        <w:rPr>
          <w:rFonts w:ascii="仿宋_GB2312" w:hAnsi="仿宋_GB2312" w:eastAsia="仿宋_GB2312"/>
          <w:b w:val="0"/>
          <w:sz w:val="32"/>
        </w:rPr>
        <w:t>七、《政府性基金预算财政拨款收入支出决算表》</w:t>
      </w:r>
    </w:p>
    <w:p w14:paraId="69C50029">
      <w:pPr>
        <w:spacing w:line="240" w:lineRule="auto"/>
        <w:ind w:firstLine="640"/>
        <w:jc w:val="both"/>
      </w:pPr>
      <w:r>
        <w:rPr>
          <w:rFonts w:ascii="仿宋_GB2312" w:hAnsi="仿宋_GB2312" w:eastAsia="仿宋_GB2312"/>
          <w:b w:val="0"/>
          <w:sz w:val="32"/>
        </w:rPr>
        <w:t>八、《国有资本经营预算财政拨款收入支出决算表》</w:t>
      </w:r>
    </w:p>
    <w:p w14:paraId="2ED23F7E">
      <w:pPr>
        <w:spacing w:line="240" w:lineRule="auto"/>
        <w:ind w:firstLine="640"/>
        <w:jc w:val="both"/>
      </w:pPr>
      <w:r>
        <w:rPr>
          <w:rFonts w:ascii="仿宋_GB2312" w:hAnsi="仿宋_GB2312" w:eastAsia="仿宋_GB2312"/>
          <w:b w:val="0"/>
          <w:sz w:val="32"/>
        </w:rPr>
        <w:t>九、《财政拨款“三公”经费支出决算表》</w:t>
      </w:r>
    </w:p>
    <w:p w14:paraId="661E9FF4">
      <w:pPr>
        <w:spacing w:line="240" w:lineRule="auto"/>
        <w:ind w:firstLine="640"/>
        <w:jc w:val="both"/>
      </w:pPr>
    </w:p>
    <w:p w14:paraId="3E94A045">
      <w:pPr>
        <w:spacing w:line="240" w:lineRule="auto"/>
        <w:ind w:firstLine="640"/>
        <w:jc w:val="both"/>
      </w:pPr>
    </w:p>
    <w:p w14:paraId="6BDA59B3">
      <w:pPr>
        <w:spacing w:line="240" w:lineRule="auto"/>
        <w:ind w:firstLine="640"/>
        <w:jc w:val="both"/>
      </w:pPr>
    </w:p>
    <w:p w14:paraId="0C75BC32">
      <w:pPr>
        <w:spacing w:line="240" w:lineRule="auto"/>
        <w:ind w:firstLine="640"/>
        <w:jc w:val="both"/>
      </w:pPr>
    </w:p>
    <w:p w14:paraId="4C475B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D37BA6"/>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563E6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7317</Words>
  <Characters>8603</Characters>
  <Lines>0</Lines>
  <Paragraphs>0</Paragraphs>
  <TotalTime>19</TotalTime>
  <ScaleCrop>false</ScaleCrop>
  <LinksUpToDate>false</LinksUpToDate>
  <CharactersWithSpaces>8611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2025-09-12T10:19:54Z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