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AAE7E4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岳普湖县艾西曼镇人民政府2024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4089F89">
      <w:r>
        <w:br w:type="page"/>
      </w:r>
    </w:p>
    <w:p w14:paraId="6968F1B4">
      <w:pPr>
        <w:spacing w:line="640" w:lineRule="exact"/>
        <w:jc w:val="center"/>
        <w:outlineLvl w:val="1"/>
      </w:pPr>
      <w:r>
        <w:rPr>
          <w:rFonts w:ascii="黑体" w:hAnsi="黑体" w:eastAsia="黑体"/>
          <w:sz w:val="32"/>
        </w:rPr>
        <w:t>第一部分 单位概况</w:t>
      </w:r>
    </w:p>
    <w:p w14:paraId="000B2902">
      <w:pPr>
        <w:spacing w:line="640" w:lineRule="exact"/>
        <w:ind w:firstLine="640"/>
        <w:jc w:val="both"/>
        <w:outlineLvl w:val="2"/>
      </w:pPr>
      <w:r>
        <w:rPr>
          <w:rFonts w:ascii="黑体" w:hAnsi="黑体" w:eastAsia="黑体"/>
          <w:sz w:val="32"/>
        </w:rPr>
        <w:t>一、主要职能</w:t>
      </w:r>
    </w:p>
    <w:p w14:paraId="1F9649D4">
      <w:pPr>
        <w:spacing w:line="580" w:lineRule="exact"/>
        <w:ind w:firstLine="640"/>
        <w:jc w:val="both"/>
      </w:pPr>
      <w:r>
        <w:rPr>
          <w:rFonts w:ascii="仿宋_GB2312" w:hAnsi="仿宋_GB2312" w:eastAsia="仿宋_GB2312"/>
          <w:sz w:val="32"/>
        </w:rPr>
        <w:t>1、根据党的路线、方针、政策和县委的指示、决议，结合本县实际，牢固树立为经济建设中心服务的指导思想，制定乡</w:t>
      </w:r>
      <w:r>
        <w:rPr>
          <w:rFonts w:hint="eastAsia" w:ascii="仿宋_GB2312" w:hAnsi="仿宋_GB2312" w:eastAsia="仿宋_GB2312"/>
          <w:sz w:val="32"/>
          <w:lang w:eastAsia="zh-CN"/>
        </w:rPr>
        <w:t>党委、政府</w:t>
      </w:r>
      <w:r>
        <w:rPr>
          <w:rFonts w:ascii="仿宋_GB2312" w:hAnsi="仿宋_GB2312" w:eastAsia="仿宋_GB2312"/>
          <w:sz w:val="32"/>
        </w:rPr>
        <w:t>年度工作要点，经县委审批后，认真贯彻执行。</w:t>
      </w:r>
    </w:p>
    <w:p w14:paraId="60D6AAC7">
      <w:pPr>
        <w:spacing w:line="580" w:lineRule="exact"/>
        <w:ind w:firstLine="640"/>
        <w:jc w:val="both"/>
      </w:pPr>
      <w:r>
        <w:rPr>
          <w:rFonts w:ascii="仿宋_GB2312" w:hAnsi="仿宋_GB2312" w:eastAsia="仿宋_GB2312"/>
          <w:sz w:val="32"/>
        </w:rPr>
        <w:t>2、开展乡</w:t>
      </w:r>
      <w:r>
        <w:rPr>
          <w:rFonts w:hint="eastAsia" w:ascii="仿宋_GB2312" w:hAnsi="仿宋_GB2312" w:eastAsia="仿宋_GB2312"/>
          <w:sz w:val="32"/>
          <w:lang w:eastAsia="zh-CN"/>
        </w:rPr>
        <w:t>党委、政府</w:t>
      </w:r>
      <w:r>
        <w:rPr>
          <w:rFonts w:ascii="仿宋_GB2312" w:hAnsi="仿宋_GB2312" w:eastAsia="仿宋_GB2312"/>
          <w:sz w:val="32"/>
        </w:rPr>
        <w:t>协商和民主监督，促进党的方针政策的贯彻落实。</w:t>
      </w:r>
    </w:p>
    <w:p w14:paraId="1237A779">
      <w:pPr>
        <w:spacing w:line="580" w:lineRule="exact"/>
        <w:ind w:firstLine="640"/>
        <w:jc w:val="both"/>
      </w:pPr>
      <w:r>
        <w:rPr>
          <w:rFonts w:ascii="仿宋_GB2312" w:hAnsi="仿宋_GB2312" w:eastAsia="仿宋_GB2312"/>
          <w:sz w:val="32"/>
        </w:rPr>
        <w:t>3、认真搞好调查研究，着力为县委决策提供第一手资料，着力解决社会的难点热点问题。</w:t>
      </w:r>
    </w:p>
    <w:p w14:paraId="289A032A">
      <w:pPr>
        <w:spacing w:line="580" w:lineRule="exact"/>
        <w:ind w:firstLine="640"/>
        <w:jc w:val="both"/>
      </w:pPr>
      <w:r>
        <w:rPr>
          <w:rFonts w:ascii="仿宋_GB2312" w:hAnsi="仿宋_GB2312" w:eastAsia="仿宋_GB2312"/>
          <w:sz w:val="32"/>
        </w:rPr>
        <w:t>4、做好乡</w:t>
      </w:r>
      <w:r>
        <w:rPr>
          <w:rFonts w:hint="eastAsia" w:ascii="仿宋_GB2312" w:hAnsi="仿宋_GB2312" w:eastAsia="仿宋_GB2312"/>
          <w:sz w:val="32"/>
          <w:lang w:eastAsia="zh-CN"/>
        </w:rPr>
        <w:t>党委、政府</w:t>
      </w:r>
      <w:r>
        <w:rPr>
          <w:rFonts w:ascii="仿宋_GB2312" w:hAnsi="仿宋_GB2312" w:eastAsia="仿宋_GB2312"/>
          <w:sz w:val="32"/>
        </w:rPr>
        <w:t>工作，尤其是要严把领导班子思想政治关，保证领导班子队伍的先进性和纯洁性，充分利用视察、会议、调研等方式调动委员参政议政的积极性。</w:t>
      </w:r>
    </w:p>
    <w:p w14:paraId="3F35610E">
      <w:pPr>
        <w:spacing w:line="580" w:lineRule="exact"/>
        <w:ind w:firstLine="640"/>
        <w:jc w:val="both"/>
      </w:pPr>
      <w:r>
        <w:rPr>
          <w:rFonts w:ascii="仿宋_GB2312" w:hAnsi="仿宋_GB2312" w:eastAsia="仿宋_GB2312"/>
          <w:sz w:val="32"/>
        </w:rPr>
        <w:t>5、做好来信来访工作，及时处理来信来访问题，积极化解社会难点热点问题。</w:t>
      </w:r>
    </w:p>
    <w:p w14:paraId="4414D0EE">
      <w:pPr>
        <w:spacing w:line="580" w:lineRule="exact"/>
        <w:ind w:firstLine="640"/>
        <w:jc w:val="both"/>
      </w:pPr>
      <w:r>
        <w:rPr>
          <w:rFonts w:ascii="仿宋_GB2312" w:hAnsi="仿宋_GB2312" w:eastAsia="仿宋_GB2312"/>
          <w:sz w:val="32"/>
        </w:rPr>
        <w:t>6、加强政协机关自身建设，努力建设一支高素质的政府干部队伍。</w:t>
      </w:r>
    </w:p>
    <w:p w14:paraId="03242F6C">
      <w:pPr>
        <w:spacing w:line="640" w:lineRule="exact"/>
        <w:ind w:firstLine="640"/>
        <w:jc w:val="both"/>
        <w:outlineLvl w:val="2"/>
      </w:pPr>
      <w:r>
        <w:rPr>
          <w:rFonts w:ascii="黑体" w:hAnsi="黑体" w:eastAsia="黑体"/>
          <w:sz w:val="32"/>
        </w:rPr>
        <w:t>二、机构设置及人员情况</w:t>
      </w:r>
    </w:p>
    <w:p w14:paraId="4F03DEC0">
      <w:pPr>
        <w:spacing w:line="580" w:lineRule="exact"/>
        <w:ind w:firstLine="640"/>
        <w:jc w:val="both"/>
      </w:pPr>
      <w:r>
        <w:rPr>
          <w:rFonts w:ascii="仿宋_GB2312" w:hAnsi="仿宋_GB2312" w:eastAsia="仿宋_GB2312"/>
          <w:sz w:val="32"/>
        </w:rPr>
        <w:t>岳普湖县艾西曼镇人民政府2024年度，实有人数138人，其中：在职人员109人，增加9人；离休人员0人，增加0人；退休人员29人,增加4人。</w:t>
      </w:r>
    </w:p>
    <w:p w14:paraId="66434000">
      <w:pPr>
        <w:spacing w:line="580" w:lineRule="exact"/>
        <w:ind w:firstLine="640"/>
        <w:jc w:val="both"/>
      </w:pPr>
      <w:r>
        <w:rPr>
          <w:rFonts w:ascii="仿宋_GB2312" w:hAnsi="仿宋_GB2312" w:eastAsia="仿宋_GB2312"/>
          <w:sz w:val="32"/>
        </w:rPr>
        <w:t>岳普湖县艾西曼镇人民政府无下属预算单位，下设5个科室，分别是：党政办公室、党建办公室、经济发展办公室、社会事务办公室、综合执法办公室。</w:t>
      </w:r>
    </w:p>
    <w:p w14:paraId="35B3CF0A">
      <w:r>
        <w:br w:type="page"/>
      </w:r>
    </w:p>
    <w:p w14:paraId="304FA3EE">
      <w:pPr>
        <w:spacing w:line="240" w:lineRule="auto"/>
        <w:jc w:val="center"/>
        <w:outlineLvl w:val="1"/>
      </w:pPr>
      <w:r>
        <w:rPr>
          <w:rFonts w:ascii="黑体" w:hAnsi="黑体" w:eastAsia="黑体"/>
          <w:sz w:val="32"/>
        </w:rPr>
        <w:t>第二部分 部门决算情况说明</w:t>
      </w:r>
    </w:p>
    <w:p w14:paraId="4408863E">
      <w:pPr>
        <w:spacing w:line="640" w:lineRule="exact"/>
        <w:ind w:firstLine="640"/>
        <w:jc w:val="both"/>
        <w:outlineLvl w:val="2"/>
      </w:pPr>
      <w:r>
        <w:rPr>
          <w:rFonts w:ascii="黑体" w:hAnsi="黑体" w:eastAsia="黑体"/>
          <w:sz w:val="32"/>
        </w:rPr>
        <w:t>一、收入支出决算总体情况说明</w:t>
      </w:r>
    </w:p>
    <w:p w14:paraId="6FD7CF45">
      <w:pPr>
        <w:spacing w:line="580" w:lineRule="exact"/>
        <w:ind w:firstLine="640"/>
        <w:jc w:val="both"/>
      </w:pPr>
      <w:r>
        <w:rPr>
          <w:rFonts w:ascii="仿宋_GB2312" w:hAnsi="仿宋_GB2312" w:eastAsia="仿宋_GB2312"/>
          <w:b/>
          <w:sz w:val="32"/>
        </w:rPr>
        <w:t>2024年度收入总计4,058.21万元，</w:t>
      </w:r>
      <w:r>
        <w:rPr>
          <w:rFonts w:ascii="仿宋_GB2312" w:hAnsi="仿宋_GB2312" w:eastAsia="仿宋_GB2312"/>
          <w:b w:val="0"/>
          <w:sz w:val="32"/>
        </w:rPr>
        <w:t>其中：本年收入合计4,058.21万元，使用非财政拨款结余（含专用结余）0.00万元，年初结转和结余0.00万元。</w:t>
      </w:r>
    </w:p>
    <w:p w14:paraId="401D0136">
      <w:pPr>
        <w:spacing w:line="580" w:lineRule="exact"/>
        <w:ind w:firstLine="640"/>
        <w:jc w:val="both"/>
      </w:pPr>
      <w:r>
        <w:rPr>
          <w:rFonts w:ascii="仿宋_GB2312" w:hAnsi="仿宋_GB2312" w:eastAsia="仿宋_GB2312"/>
          <w:b/>
          <w:sz w:val="32"/>
        </w:rPr>
        <w:t>2024年度支出总计4,058.21万元，</w:t>
      </w:r>
      <w:r>
        <w:rPr>
          <w:rFonts w:ascii="仿宋_GB2312" w:hAnsi="仿宋_GB2312" w:eastAsia="仿宋_GB2312"/>
          <w:b w:val="0"/>
          <w:sz w:val="32"/>
        </w:rPr>
        <w:t>其中：本年支出合计4,058.21万元，结余分配0.00万元，年末结转和结余0.00万元。</w:t>
      </w:r>
    </w:p>
    <w:p w14:paraId="5E3B014C">
      <w:pPr>
        <w:spacing w:line="580" w:lineRule="exact"/>
        <w:ind w:firstLine="640"/>
        <w:jc w:val="both"/>
      </w:pPr>
      <w:r>
        <w:rPr>
          <w:rFonts w:ascii="仿宋_GB2312" w:hAnsi="仿宋_GB2312" w:eastAsia="仿宋_GB2312"/>
          <w:b w:val="0"/>
          <w:sz w:val="32"/>
        </w:rPr>
        <w:t>收入支出总体与上年相比，增加767.12万元，增长23.31%，主要原因是：本年增加岳普湖县乡村振兴项目、“一抓双促”建设项目经费等，导致经费较上年增加。</w:t>
      </w:r>
    </w:p>
    <w:p w14:paraId="0793BAD7">
      <w:pPr>
        <w:spacing w:line="640" w:lineRule="exact"/>
        <w:ind w:firstLine="640"/>
        <w:jc w:val="both"/>
        <w:outlineLvl w:val="2"/>
      </w:pPr>
      <w:r>
        <w:rPr>
          <w:rFonts w:ascii="黑体" w:hAnsi="黑体" w:eastAsia="黑体"/>
          <w:sz w:val="32"/>
        </w:rPr>
        <w:t>二、收入决算情况说明</w:t>
      </w:r>
    </w:p>
    <w:p w14:paraId="10E1BE24">
      <w:pPr>
        <w:spacing w:line="580" w:lineRule="exact"/>
        <w:ind w:firstLine="640"/>
        <w:jc w:val="both"/>
      </w:pPr>
      <w:r>
        <w:rPr>
          <w:rFonts w:ascii="仿宋_GB2312" w:hAnsi="仿宋_GB2312" w:eastAsia="仿宋_GB2312"/>
          <w:b/>
          <w:sz w:val="32"/>
        </w:rPr>
        <w:t>本年收入4,058.21万元，</w:t>
      </w:r>
      <w:r>
        <w:rPr>
          <w:rFonts w:ascii="仿宋_GB2312" w:hAnsi="仿宋_GB2312" w:eastAsia="仿宋_GB2312"/>
          <w:b w:val="0"/>
          <w:sz w:val="32"/>
        </w:rPr>
        <w:t>其中：财政拨款收入2,729.34万元，占67.25%；上级补助收入0.00万元，占0.00%；事业收入0.00万元，占0.00%；经营收入0.00万元，占0.00%；附属单位上缴收入0.00万元，占0.00%；其他收入1,328.88万元，占32.75%。</w:t>
      </w:r>
    </w:p>
    <w:p w14:paraId="0742214F">
      <w:pPr>
        <w:spacing w:line="640" w:lineRule="exact"/>
        <w:ind w:firstLine="640"/>
        <w:jc w:val="both"/>
        <w:outlineLvl w:val="2"/>
      </w:pPr>
      <w:r>
        <w:rPr>
          <w:rFonts w:ascii="黑体" w:hAnsi="黑体" w:eastAsia="黑体"/>
          <w:sz w:val="32"/>
        </w:rPr>
        <w:t>三、支出决算情况说明</w:t>
      </w:r>
    </w:p>
    <w:p w14:paraId="5B281A0E">
      <w:pPr>
        <w:spacing w:line="580" w:lineRule="exact"/>
        <w:ind w:firstLine="640"/>
        <w:jc w:val="both"/>
      </w:pPr>
      <w:r>
        <w:rPr>
          <w:rFonts w:ascii="仿宋_GB2312" w:hAnsi="仿宋_GB2312" w:eastAsia="仿宋_GB2312"/>
          <w:b/>
          <w:sz w:val="32"/>
        </w:rPr>
        <w:t>本年支出4,058.21万元，</w:t>
      </w:r>
      <w:r>
        <w:rPr>
          <w:rFonts w:ascii="仿宋_GB2312" w:hAnsi="仿宋_GB2312" w:eastAsia="仿宋_GB2312"/>
          <w:b w:val="0"/>
          <w:sz w:val="32"/>
        </w:rPr>
        <w:t>其中：基本支出1,847.16万元，占45.52%；项目支出2,211.06万元，占54.48%；上缴上级支出0.00万元，占0.00%；经营支出0.00万元，占0.00%；对附属单位补助支出0.00万元，占0.00%。</w:t>
      </w:r>
    </w:p>
    <w:p w14:paraId="16A967DE">
      <w:pPr>
        <w:spacing w:line="640" w:lineRule="exact"/>
        <w:ind w:firstLine="640"/>
        <w:jc w:val="both"/>
        <w:outlineLvl w:val="2"/>
      </w:pPr>
      <w:r>
        <w:rPr>
          <w:rFonts w:ascii="黑体" w:hAnsi="黑体" w:eastAsia="黑体"/>
          <w:sz w:val="32"/>
        </w:rPr>
        <w:t>四、财政拨款收入支出决算总体情况说明</w:t>
      </w:r>
    </w:p>
    <w:p w14:paraId="6C564DEA">
      <w:pPr>
        <w:spacing w:line="580" w:lineRule="exact"/>
        <w:ind w:firstLine="640"/>
        <w:jc w:val="both"/>
      </w:pPr>
      <w:r>
        <w:rPr>
          <w:rFonts w:ascii="仿宋_GB2312" w:hAnsi="仿宋_GB2312" w:eastAsia="仿宋_GB2312"/>
          <w:b/>
          <w:sz w:val="32"/>
        </w:rPr>
        <w:t>2024年度财政拨款收入总计2,729.34万元，</w:t>
      </w:r>
      <w:r>
        <w:rPr>
          <w:rFonts w:ascii="仿宋_GB2312" w:hAnsi="仿宋_GB2312" w:eastAsia="仿宋_GB2312"/>
          <w:b w:val="0"/>
          <w:sz w:val="32"/>
        </w:rPr>
        <w:t>其中：年初财政拨款结转和结余0.00万元，本年财政拨款收入2,729.34万元。</w:t>
      </w:r>
      <w:r>
        <w:rPr>
          <w:rFonts w:ascii="仿宋_GB2312" w:hAnsi="仿宋_GB2312" w:eastAsia="仿宋_GB2312"/>
          <w:b/>
          <w:sz w:val="32"/>
        </w:rPr>
        <w:t>财政拨款支出总计2,729.34万元，</w:t>
      </w:r>
      <w:r>
        <w:rPr>
          <w:rFonts w:ascii="仿宋_GB2312" w:hAnsi="仿宋_GB2312" w:eastAsia="仿宋_GB2312"/>
          <w:b w:val="0"/>
          <w:sz w:val="32"/>
        </w:rPr>
        <w:t>其中：年末财政拨款结转和结余0.00万元，本年财政拨款支出2,729.34万元。</w:t>
      </w:r>
    </w:p>
    <w:p w14:paraId="34D91A6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减少491.15万元，下降15.25%，主要原因是：本年减少示范村建设项目、临时救助项目等经费，导致经费较上年减少。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年初预算数1,831.91万元，决算数2,729.34万元，预决算差异率48.99%，主要原因是：本年中追加乡镇工作经费，村级运转经费，岳普湖县艾西曼镇农田渠系2024年中央财政</w:t>
      </w:r>
      <w:r>
        <w:rPr>
          <w:rFonts w:hint="eastAsia" w:ascii="仿宋_GB2312" w:hAnsi="仿宋_GB2312" w:eastAsia="仿宋_GB2312"/>
          <w:b w:val="0"/>
          <w:sz w:val="32"/>
          <w:lang w:eastAsia="zh-CN"/>
        </w:rPr>
        <w:t>以工代赈</w:t>
      </w:r>
      <w:r>
        <w:rPr>
          <w:rFonts w:ascii="仿宋_GB2312" w:hAnsi="仿宋_GB2312" w:eastAsia="仿宋_GB2312"/>
          <w:b w:val="0"/>
          <w:sz w:val="32"/>
        </w:rPr>
        <w:t>项目、艾西曼镇新型农业发展设备购置项目等经费，导致预决算存在差异。</w:t>
      </w:r>
    </w:p>
    <w:p w14:paraId="3CB3291B">
      <w:pPr>
        <w:spacing w:line="640" w:lineRule="exact"/>
        <w:ind w:firstLine="640"/>
        <w:jc w:val="both"/>
        <w:outlineLvl w:val="2"/>
      </w:pPr>
      <w:r>
        <w:rPr>
          <w:rFonts w:ascii="黑体" w:hAnsi="黑体" w:eastAsia="黑体"/>
          <w:sz w:val="32"/>
        </w:rPr>
        <w:t>五、一般公共预算财政拨款支出决算情况说明</w:t>
      </w:r>
    </w:p>
    <w:p w14:paraId="127AE8EA">
      <w:pPr>
        <w:spacing w:line="640" w:lineRule="exact"/>
        <w:ind w:firstLine="640"/>
        <w:jc w:val="both"/>
        <w:outlineLvl w:val="3"/>
      </w:pPr>
      <w:r>
        <w:rPr>
          <w:rFonts w:ascii="楷体_GB2312" w:hAnsi="楷体_GB2312" w:eastAsia="楷体_GB2312"/>
          <w:b/>
          <w:sz w:val="32"/>
        </w:rPr>
        <w:t>（一）一般公共预算财政拨款支出决算总体情况</w:t>
      </w:r>
    </w:p>
    <w:p w14:paraId="7D9B4997">
      <w:pPr>
        <w:spacing w:line="580" w:lineRule="exact"/>
        <w:ind w:firstLine="640"/>
        <w:jc w:val="both"/>
      </w:pPr>
      <w:r>
        <w:rPr>
          <w:rFonts w:ascii="仿宋_GB2312" w:hAnsi="仿宋_GB2312" w:eastAsia="仿宋_GB2312"/>
          <w:b/>
          <w:sz w:val="32"/>
        </w:rPr>
        <w:t>2024年度一般公共预算财政拨款支出2,727.34万元，</w:t>
      </w:r>
      <w:r>
        <w:rPr>
          <w:rFonts w:ascii="仿宋_GB2312" w:hAnsi="仿宋_GB2312" w:eastAsia="仿宋_GB2312"/>
          <w:b w:val="0"/>
          <w:sz w:val="32"/>
        </w:rPr>
        <w:t>占本年支出合计的67.21%。</w:t>
      </w:r>
      <w:r>
        <w:rPr>
          <w:rFonts w:ascii="仿宋_GB2312" w:hAnsi="仿宋_GB2312" w:eastAsia="仿宋_GB2312"/>
          <w:b/>
          <w:sz w:val="32"/>
        </w:rPr>
        <w:t>与上年相比，</w:t>
      </w:r>
      <w:r>
        <w:rPr>
          <w:rFonts w:ascii="仿宋_GB2312" w:hAnsi="仿宋_GB2312" w:eastAsia="仿宋_GB2312"/>
          <w:b w:val="0"/>
          <w:sz w:val="32"/>
        </w:rPr>
        <w:t>减少493.15万元，下降15.31%，主要原因是：本年减少示范村建设项目、临时救助项目等经费，导致经费较上年减少。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年初预算数1,829.91万元，决算数2,727.34万元，预决算差异率49.04%，主要原因是：本年中追加乡镇工作经费，村级运转经费，岳普湖县艾西曼镇农田渠系2024年中央财政</w:t>
      </w:r>
      <w:r>
        <w:rPr>
          <w:rFonts w:hint="eastAsia" w:ascii="仿宋_GB2312" w:hAnsi="仿宋_GB2312" w:eastAsia="仿宋_GB2312"/>
          <w:b w:val="0"/>
          <w:sz w:val="32"/>
          <w:lang w:eastAsia="zh-CN"/>
        </w:rPr>
        <w:t>以工代赈</w:t>
      </w:r>
      <w:r>
        <w:rPr>
          <w:rFonts w:ascii="仿宋_GB2312" w:hAnsi="仿宋_GB2312" w:eastAsia="仿宋_GB2312"/>
          <w:b w:val="0"/>
          <w:sz w:val="32"/>
        </w:rPr>
        <w:t>项目、艾西曼镇新型农业发展设备购置项目等经费，导致预决算存在差异。</w:t>
      </w:r>
    </w:p>
    <w:p w14:paraId="1B468D89">
      <w:pPr>
        <w:spacing w:line="640" w:lineRule="exact"/>
        <w:ind w:firstLine="640"/>
        <w:jc w:val="both"/>
        <w:outlineLvl w:val="3"/>
      </w:pPr>
      <w:r>
        <w:rPr>
          <w:rFonts w:ascii="楷体_GB2312" w:hAnsi="楷体_GB2312" w:eastAsia="楷体_GB2312"/>
          <w:b/>
          <w:sz w:val="32"/>
        </w:rPr>
        <w:t>（二）一般公共预算财政拨款支出决算结构情况</w:t>
      </w:r>
    </w:p>
    <w:p w14:paraId="1A6E2AE8">
      <w:pPr>
        <w:spacing w:line="580" w:lineRule="exact"/>
        <w:ind w:firstLine="640"/>
        <w:jc w:val="both"/>
      </w:pPr>
      <w:r>
        <w:rPr>
          <w:rFonts w:ascii="仿宋_GB2312" w:hAnsi="仿宋_GB2312" w:eastAsia="仿宋_GB2312"/>
          <w:b w:val="0"/>
          <w:sz w:val="32"/>
        </w:rPr>
        <w:t>1.一般公共服务支出(类)1,661.69万元,占60.93%。</w:t>
      </w:r>
    </w:p>
    <w:p w14:paraId="127E8532">
      <w:pPr>
        <w:spacing w:line="580" w:lineRule="exact"/>
        <w:ind w:firstLine="640"/>
        <w:jc w:val="both"/>
      </w:pPr>
      <w:r>
        <w:rPr>
          <w:rFonts w:ascii="仿宋_GB2312" w:hAnsi="仿宋_GB2312" w:eastAsia="仿宋_GB2312"/>
          <w:b w:val="0"/>
          <w:sz w:val="32"/>
        </w:rPr>
        <w:t>2.文化旅游体育与传媒支出(类)48.82万元,占1.79%。</w:t>
      </w:r>
    </w:p>
    <w:p w14:paraId="7BDEA971">
      <w:pPr>
        <w:spacing w:line="580" w:lineRule="exact"/>
        <w:ind w:firstLine="640"/>
        <w:jc w:val="both"/>
      </w:pPr>
      <w:r>
        <w:rPr>
          <w:rFonts w:ascii="仿宋_GB2312" w:hAnsi="仿宋_GB2312" w:eastAsia="仿宋_GB2312"/>
          <w:b w:val="0"/>
          <w:sz w:val="32"/>
        </w:rPr>
        <w:t>3.社会保障和就业支出(类)214.44万元,占7.86%。</w:t>
      </w:r>
    </w:p>
    <w:p w14:paraId="1699E9ED">
      <w:pPr>
        <w:spacing w:line="580" w:lineRule="exact"/>
        <w:ind w:firstLine="640"/>
        <w:jc w:val="both"/>
      </w:pPr>
      <w:r>
        <w:rPr>
          <w:rFonts w:ascii="仿宋_GB2312" w:hAnsi="仿宋_GB2312" w:eastAsia="仿宋_GB2312"/>
          <w:b w:val="0"/>
          <w:sz w:val="32"/>
        </w:rPr>
        <w:t>4.卫生健康支出(类)83.83万元,占3.07%。</w:t>
      </w:r>
    </w:p>
    <w:p w14:paraId="57645238">
      <w:pPr>
        <w:spacing w:line="580" w:lineRule="exact"/>
        <w:ind w:firstLine="640"/>
        <w:jc w:val="both"/>
      </w:pPr>
      <w:r>
        <w:rPr>
          <w:rFonts w:ascii="仿宋_GB2312" w:hAnsi="仿宋_GB2312" w:eastAsia="仿宋_GB2312"/>
          <w:b w:val="0"/>
          <w:sz w:val="32"/>
        </w:rPr>
        <w:t>5.城乡社区支出(类)40.93万元,占1.50%。</w:t>
      </w:r>
    </w:p>
    <w:p w14:paraId="7FD414B4">
      <w:pPr>
        <w:spacing w:line="580" w:lineRule="exact"/>
        <w:ind w:firstLine="640"/>
        <w:jc w:val="both"/>
      </w:pPr>
      <w:r>
        <w:rPr>
          <w:rFonts w:ascii="仿宋_GB2312" w:hAnsi="仿宋_GB2312" w:eastAsia="仿宋_GB2312"/>
          <w:b w:val="0"/>
          <w:sz w:val="32"/>
        </w:rPr>
        <w:t>6.农林水支出(类)524.49万元,占19.23%。</w:t>
      </w:r>
    </w:p>
    <w:p w14:paraId="100D7F7A">
      <w:pPr>
        <w:spacing w:line="580" w:lineRule="exact"/>
        <w:ind w:firstLine="640"/>
        <w:jc w:val="both"/>
      </w:pPr>
      <w:r>
        <w:rPr>
          <w:rFonts w:ascii="仿宋_GB2312" w:hAnsi="仿宋_GB2312" w:eastAsia="仿宋_GB2312"/>
          <w:b w:val="0"/>
          <w:sz w:val="32"/>
        </w:rPr>
        <w:t>7.住房保障支出(类)132.90万元,占4.87%。</w:t>
      </w:r>
    </w:p>
    <w:p w14:paraId="40DE7B4D">
      <w:pPr>
        <w:spacing w:line="580" w:lineRule="exact"/>
        <w:ind w:firstLine="640"/>
        <w:jc w:val="both"/>
      </w:pPr>
      <w:r>
        <w:rPr>
          <w:rFonts w:ascii="仿宋_GB2312" w:hAnsi="仿宋_GB2312" w:eastAsia="仿宋_GB2312"/>
          <w:b w:val="0"/>
          <w:sz w:val="32"/>
        </w:rPr>
        <w:t>8.其他支出(类)20.23万元,占0.74%。</w:t>
      </w:r>
    </w:p>
    <w:p w14:paraId="68B70CC1">
      <w:pPr>
        <w:spacing w:line="640" w:lineRule="exact"/>
        <w:ind w:firstLine="640"/>
        <w:jc w:val="both"/>
        <w:outlineLvl w:val="3"/>
      </w:pPr>
      <w:r>
        <w:rPr>
          <w:rFonts w:ascii="楷体_GB2312" w:hAnsi="楷体_GB2312" w:eastAsia="楷体_GB2312"/>
          <w:b/>
          <w:sz w:val="32"/>
        </w:rPr>
        <w:t>（三）一般公共预算财政拨款支出决算具体情况</w:t>
      </w:r>
    </w:p>
    <w:p w14:paraId="409C7E16">
      <w:pPr>
        <w:spacing w:line="580" w:lineRule="exact"/>
        <w:ind w:firstLine="640"/>
        <w:jc w:val="both"/>
      </w:pPr>
      <w:r>
        <w:rPr>
          <w:rFonts w:ascii="仿宋_GB2312" w:hAnsi="仿宋_GB2312" w:eastAsia="仿宋_GB2312"/>
          <w:b w:val="0"/>
          <w:sz w:val="32"/>
        </w:rPr>
        <w:t>1.一般公共服务支出(类)人大事务(款)代表工作(项):支出决算数为0.97万元，比上年决算减少1.85万元，下降65.60%,主要原因是：本单位人大事务代表人员补贴资金减少，相应支出减少。</w:t>
      </w:r>
    </w:p>
    <w:p w14:paraId="52D29914">
      <w:pPr>
        <w:spacing w:line="580" w:lineRule="exact"/>
        <w:ind w:firstLine="640"/>
        <w:jc w:val="both"/>
      </w:pPr>
      <w:r>
        <w:rPr>
          <w:rFonts w:ascii="仿宋_GB2312" w:hAnsi="仿宋_GB2312" w:eastAsia="仿宋_GB2312"/>
          <w:b w:val="0"/>
          <w:sz w:val="32"/>
        </w:rPr>
        <w:t>2.一般公共服务支出(类)人大事务(款)其他人大事务支出(项):支出决算数为0.00万元，比上年决算减少0.50万元，下降100.00%,主要原因是：本年度减少2023年自治区基层人大补助经费。</w:t>
      </w:r>
    </w:p>
    <w:p w14:paraId="58094A85">
      <w:pPr>
        <w:spacing w:line="580" w:lineRule="exact"/>
        <w:ind w:firstLine="640"/>
        <w:jc w:val="both"/>
      </w:pPr>
      <w:r>
        <w:rPr>
          <w:rFonts w:ascii="仿宋_GB2312" w:hAnsi="仿宋_GB2312" w:eastAsia="仿宋_GB2312"/>
          <w:b w:val="0"/>
          <w:sz w:val="32"/>
        </w:rPr>
        <w:t>3.一般公共服务支出(类)政府办公厅（室）及相关机构事务(款)行政运行(项):支出决算数为1,415.98万元，比上年决算减少13.25万元，下降0.93%,主要原因是：本年聘用人员减少，其他工资福利支出减少，相应经费减少。</w:t>
      </w:r>
    </w:p>
    <w:p w14:paraId="56851F85">
      <w:pPr>
        <w:spacing w:line="580" w:lineRule="exact"/>
        <w:ind w:firstLine="640"/>
        <w:jc w:val="both"/>
      </w:pPr>
      <w:r>
        <w:rPr>
          <w:rFonts w:ascii="仿宋_GB2312" w:hAnsi="仿宋_GB2312" w:eastAsia="仿宋_GB2312"/>
          <w:b w:val="0"/>
          <w:sz w:val="32"/>
        </w:rPr>
        <w:t>4.一般公共服务支出(类)政府办公厅（室）及相关机构事务(款)一般行政管理事务(项):支出决算数为92.93万元，比上年决算增加46.14万元，增长98.61%,主要原因是：本年增多乡村振兴项目改造支出。</w:t>
      </w:r>
    </w:p>
    <w:p w14:paraId="3745C6EB">
      <w:pPr>
        <w:spacing w:line="580" w:lineRule="exact"/>
        <w:ind w:firstLine="640"/>
        <w:jc w:val="both"/>
      </w:pPr>
      <w:r>
        <w:rPr>
          <w:rFonts w:ascii="仿宋_GB2312" w:hAnsi="仿宋_GB2312" w:eastAsia="仿宋_GB2312"/>
          <w:b w:val="0"/>
          <w:sz w:val="32"/>
        </w:rPr>
        <w:t>5.一般公共服务支出(类)审计事务(款)行政运行(项):支出决算数为0.00万元，比上年决算减少1.10万元，下降100.00%,主要原因是：本年劳务费支出较上年减少。</w:t>
      </w:r>
    </w:p>
    <w:p w14:paraId="47F4BF12">
      <w:pPr>
        <w:spacing w:line="580" w:lineRule="exact"/>
        <w:ind w:firstLine="640"/>
        <w:jc w:val="both"/>
      </w:pPr>
      <w:r>
        <w:rPr>
          <w:rFonts w:ascii="仿宋_GB2312" w:hAnsi="仿宋_GB2312" w:eastAsia="仿宋_GB2312"/>
          <w:b w:val="0"/>
          <w:sz w:val="32"/>
        </w:rPr>
        <w:t>6.一般公共服务支出(类)纪检监察事务(款)行政运行(项):支出决算数为0.00万元，比上年决算减少2.00万元，下降100.00%,主要原因是：本年减少纪检办公费经费。</w:t>
      </w:r>
    </w:p>
    <w:p w14:paraId="3368D1F2">
      <w:pPr>
        <w:spacing w:line="580" w:lineRule="exact"/>
        <w:ind w:firstLine="640"/>
        <w:jc w:val="both"/>
      </w:pPr>
      <w:r>
        <w:rPr>
          <w:rFonts w:ascii="仿宋_GB2312" w:hAnsi="仿宋_GB2312" w:eastAsia="仿宋_GB2312"/>
          <w:b w:val="0"/>
          <w:sz w:val="32"/>
        </w:rPr>
        <w:t>7.一般公共服务支出(类)纪检监察事务(款)其他纪检监察事务支出(项):支出决算数为2.00万元，比上年决算增加0.50万元，增长33.33%,主要原因是：本年增加2023年乡镇纪委（监察办）工作经费。</w:t>
      </w:r>
    </w:p>
    <w:p w14:paraId="618BFB08">
      <w:pPr>
        <w:spacing w:line="580" w:lineRule="exact"/>
        <w:ind w:firstLine="640"/>
        <w:jc w:val="both"/>
      </w:pPr>
      <w:r>
        <w:rPr>
          <w:rFonts w:ascii="仿宋_GB2312" w:hAnsi="仿宋_GB2312" w:eastAsia="仿宋_GB2312"/>
          <w:b w:val="0"/>
          <w:sz w:val="32"/>
        </w:rPr>
        <w:t>8.一般公共服务支出(类)组织事务(款)其他组织事务支出(项):支出决算数为145.31万元，比上年决算减少37.62万元，下降20.57%,主要原因是：本年贫困村第一书记为民办实事好事经费、村级运转</w:t>
      </w:r>
      <w:r>
        <w:rPr>
          <w:rFonts w:hint="eastAsia" w:ascii="仿宋_GB2312" w:hAnsi="仿宋_GB2312" w:eastAsia="仿宋_GB2312"/>
          <w:b w:val="0"/>
          <w:sz w:val="32"/>
          <w:lang w:eastAsia="zh-CN"/>
        </w:rPr>
        <w:t>经费</w:t>
      </w:r>
      <w:r>
        <w:rPr>
          <w:rFonts w:ascii="仿宋_GB2312" w:hAnsi="仿宋_GB2312" w:eastAsia="仿宋_GB2312"/>
          <w:b w:val="0"/>
          <w:sz w:val="32"/>
        </w:rPr>
        <w:t>和为民办实事经费项目资金较上年减少，导致比上年决算减少。</w:t>
      </w:r>
    </w:p>
    <w:p w14:paraId="3AB03ED5">
      <w:pPr>
        <w:spacing w:line="580" w:lineRule="exact"/>
        <w:ind w:firstLine="640"/>
        <w:jc w:val="both"/>
      </w:pPr>
      <w:r>
        <w:rPr>
          <w:rFonts w:ascii="仿宋_GB2312" w:hAnsi="仿宋_GB2312" w:eastAsia="仿宋_GB2312"/>
          <w:b w:val="0"/>
          <w:sz w:val="32"/>
        </w:rPr>
        <w:t>9.一般公共服务支出(类)宣传事务(款)其他宣传事务支出(项):支出决算数为0.00万元，比上年决算减少1.00万元，下降100.00%,主要原因是：本年减少2022年自治区“</w:t>
      </w:r>
      <w:r>
        <w:rPr>
          <w:rFonts w:hint="eastAsia" w:ascii="方正仿宋_GB2312" w:hAnsi="方正仿宋_GB2312" w:eastAsia="方正仿宋_GB2312" w:cs="方正仿宋_GB2312"/>
          <w:b w:val="0"/>
          <w:sz w:val="32"/>
        </w:rPr>
        <w:t>SHDF</w:t>
      </w:r>
      <w:r>
        <w:rPr>
          <w:rFonts w:ascii="仿宋_GB2312" w:hAnsi="仿宋_GB2312" w:eastAsia="仿宋_GB2312"/>
          <w:b w:val="0"/>
          <w:sz w:val="32"/>
        </w:rPr>
        <w:t>”经费资金，相应支出减少。</w:t>
      </w:r>
    </w:p>
    <w:p w14:paraId="6B6E0B5E">
      <w:pPr>
        <w:spacing w:line="580" w:lineRule="exact"/>
        <w:ind w:firstLine="640"/>
        <w:jc w:val="both"/>
      </w:pPr>
      <w:r>
        <w:rPr>
          <w:rFonts w:ascii="仿宋_GB2312" w:hAnsi="仿宋_GB2312" w:eastAsia="仿宋_GB2312"/>
          <w:b w:val="0"/>
          <w:sz w:val="32"/>
        </w:rPr>
        <w:t>10.一般公共服务支出(类)统战事务(款)宗教事务(项):支出决算数为4.00万元，比上年决算增加1.00万元，增长33.33%,主要原因是：本年</w:t>
      </w:r>
      <w:r>
        <w:rPr>
          <w:rFonts w:hint="eastAsia" w:ascii="方正仿宋_GB2312" w:hAnsi="方正仿宋_GB2312" w:eastAsia="方正仿宋_GB2312" w:cs="方正仿宋_GB2312"/>
          <w:b w:val="0"/>
          <w:sz w:val="32"/>
        </w:rPr>
        <w:t>ZJ活</w:t>
      </w:r>
      <w:r>
        <w:rPr>
          <w:rFonts w:ascii="仿宋_GB2312" w:hAnsi="仿宋_GB2312" w:eastAsia="仿宋_GB2312"/>
          <w:b w:val="0"/>
          <w:sz w:val="32"/>
        </w:rPr>
        <w:t>动场所修缮项目增多。</w:t>
      </w:r>
    </w:p>
    <w:p w14:paraId="71BF3684">
      <w:pPr>
        <w:spacing w:line="580" w:lineRule="exact"/>
        <w:ind w:firstLine="640"/>
        <w:jc w:val="both"/>
      </w:pPr>
      <w:r>
        <w:rPr>
          <w:rFonts w:ascii="仿宋_GB2312" w:hAnsi="仿宋_GB2312" w:eastAsia="仿宋_GB2312"/>
          <w:b w:val="0"/>
          <w:sz w:val="32"/>
        </w:rPr>
        <w:t>11.一般公共服务支出(类)统战事务(款)其他统战事务支出(项):支出决算数为0.50万元，比上年决算减少1.50万元，下降75.00%,主要原因是：本年度未安排2023年</w:t>
      </w:r>
      <w:r>
        <w:rPr>
          <w:rFonts w:hint="eastAsia" w:ascii="方正仿宋_GB2312" w:hAnsi="方正仿宋_GB2312" w:eastAsia="方正仿宋_GB2312" w:cs="方正仿宋_GB2312"/>
          <w:b w:val="0"/>
          <w:sz w:val="32"/>
        </w:rPr>
        <w:t>ZCGS</w:t>
      </w:r>
      <w:r>
        <w:rPr>
          <w:rFonts w:ascii="仿宋_GB2312" w:hAnsi="仿宋_GB2312" w:eastAsia="仿宋_GB2312"/>
          <w:b w:val="0"/>
          <w:sz w:val="32"/>
        </w:rPr>
        <w:t>委员会工作经费。</w:t>
      </w:r>
    </w:p>
    <w:p w14:paraId="09B47C44">
      <w:pPr>
        <w:spacing w:line="580" w:lineRule="exact"/>
        <w:ind w:firstLine="640"/>
        <w:jc w:val="both"/>
      </w:pPr>
      <w:r>
        <w:rPr>
          <w:rFonts w:ascii="仿宋_GB2312" w:hAnsi="仿宋_GB2312" w:eastAsia="仿宋_GB2312"/>
          <w:b w:val="0"/>
          <w:sz w:val="32"/>
        </w:rPr>
        <w:t>12.文化旅游体育与传媒支出(类)文化和旅游(款)其他文化和旅游支出(项):支出决算数为48.82万元，比上年决算增加48.82万元，增长100.00%,主要原因是：本年增</w:t>
      </w:r>
      <w:r>
        <w:rPr>
          <w:rFonts w:hint="eastAsia" w:ascii="仿宋_GB2312" w:hAnsi="仿宋_GB2312" w:eastAsia="仿宋_GB2312"/>
          <w:b w:val="0"/>
          <w:sz w:val="32"/>
          <w:lang w:val="en-US" w:eastAsia="zh-CN"/>
        </w:rPr>
        <w:t>加</w:t>
      </w:r>
      <w:r>
        <w:rPr>
          <w:rFonts w:ascii="仿宋_GB2312" w:hAnsi="仿宋_GB2312" w:eastAsia="仿宋_GB2312"/>
          <w:b w:val="0"/>
          <w:sz w:val="32"/>
        </w:rPr>
        <w:t>2022年文化体育活动经费、2022年自治区补助地方美术馆，公共图书馆，文化馆[站]免费开放补助资金。</w:t>
      </w:r>
    </w:p>
    <w:p w14:paraId="538C2CB2">
      <w:pPr>
        <w:spacing w:line="580" w:lineRule="exact"/>
        <w:ind w:firstLine="640"/>
        <w:jc w:val="both"/>
      </w:pPr>
      <w:r>
        <w:rPr>
          <w:rFonts w:ascii="仿宋_GB2312" w:hAnsi="仿宋_GB2312" w:eastAsia="仿宋_GB2312"/>
          <w:b w:val="0"/>
          <w:sz w:val="32"/>
        </w:rPr>
        <w:t>13.社会保障和就业支出(类)行政事业单位养老支出(款)行政单位离退休(项):支出决算数为28.72万元，比上年决算增加1.32万元，增长4.82%,主要原因是：本年新增退休人员，补发退休人员绩效，导致退休费较上年增。</w:t>
      </w:r>
    </w:p>
    <w:p w14:paraId="5767C32F">
      <w:pPr>
        <w:spacing w:line="580" w:lineRule="exact"/>
        <w:ind w:firstLine="640"/>
        <w:jc w:val="both"/>
      </w:pPr>
      <w:r>
        <w:rPr>
          <w:rFonts w:ascii="仿宋_GB2312" w:hAnsi="仿宋_GB2312" w:eastAsia="仿宋_GB2312"/>
          <w:b w:val="0"/>
          <w:sz w:val="32"/>
        </w:rPr>
        <w:t>14.社会保障和就业支出(类)行政事业单位养老支出(款)机关事业单位基本养老保险缴费支出(项):支出决算数为165.12万元，比上年决算增加22.86万元，增长16.07%,主要原因是：本年在职人员工资基数调增，养老缴费基数上涨，相应支出增加。</w:t>
      </w:r>
    </w:p>
    <w:p w14:paraId="6DACC08C">
      <w:pPr>
        <w:spacing w:line="580" w:lineRule="exact"/>
        <w:ind w:firstLine="640"/>
        <w:jc w:val="both"/>
      </w:pPr>
      <w:r>
        <w:rPr>
          <w:rFonts w:ascii="仿宋_GB2312" w:hAnsi="仿宋_GB2312" w:eastAsia="仿宋_GB2312"/>
          <w:b w:val="0"/>
          <w:sz w:val="32"/>
        </w:rPr>
        <w:t>15.社会保障和就业支出(类)行政事业单位养老支出(款)机关事业单位职业年金缴费支出(项):支出决算数为20.60万元，比上年决算减少5.37万元，下降20.68%,主要原因是：本年新增退休人员较上年减少，职业年金缴费较上年减少。</w:t>
      </w:r>
    </w:p>
    <w:p w14:paraId="5B0C2060">
      <w:pPr>
        <w:spacing w:line="580" w:lineRule="exact"/>
        <w:ind w:firstLine="640"/>
        <w:jc w:val="both"/>
      </w:pPr>
      <w:r>
        <w:rPr>
          <w:rFonts w:ascii="仿宋_GB2312" w:hAnsi="仿宋_GB2312" w:eastAsia="仿宋_GB2312"/>
          <w:b w:val="0"/>
          <w:sz w:val="32"/>
        </w:rPr>
        <w:t>16.社会保障和就业支出(类)临时救助(款)临时救助支出(项):支出决算数为0.00万元，比上年决算减少326.44万元，下降100.00%,主要原因是：上年临时救助资金在本单位发放，本年由于民政局进行发放，导致临时救助支出减少。</w:t>
      </w:r>
    </w:p>
    <w:p w14:paraId="621F060A">
      <w:pPr>
        <w:spacing w:line="580" w:lineRule="exact"/>
        <w:ind w:firstLine="640"/>
        <w:jc w:val="both"/>
      </w:pPr>
      <w:r>
        <w:rPr>
          <w:rFonts w:ascii="仿宋_GB2312" w:hAnsi="仿宋_GB2312" w:eastAsia="仿宋_GB2312"/>
          <w:b w:val="0"/>
          <w:sz w:val="32"/>
        </w:rPr>
        <w:t>17.卫生健康支出(类)行政事业单位医疗(款)行政单位医疗(项):支出决算数为69.71万元，比上年决算减少1.75万元，下降2.45%,主要原因是：本年在职人员调入调出，人员职级不同，缴费基数不同，导致行政单位医疗较上年减少。</w:t>
      </w:r>
    </w:p>
    <w:p w14:paraId="74FFC64B">
      <w:pPr>
        <w:spacing w:line="580" w:lineRule="exact"/>
        <w:ind w:firstLine="640"/>
        <w:jc w:val="both"/>
      </w:pPr>
      <w:r>
        <w:rPr>
          <w:rFonts w:ascii="仿宋_GB2312" w:hAnsi="仿宋_GB2312" w:eastAsia="仿宋_GB2312"/>
          <w:b w:val="0"/>
          <w:sz w:val="32"/>
        </w:rPr>
        <w:t>18.卫生健康支出(类)行政事业单位医疗(款)公务员医疗补助(项):支出决算数为14.13万元，比上年决算减少1.18万元，下降7.71%,主要原因是：本年在职人员调入调出，人员职级不同，缴费基数不同，导致公务员医疗补助较上年减少。</w:t>
      </w:r>
    </w:p>
    <w:p w14:paraId="24515247">
      <w:pPr>
        <w:spacing w:line="580" w:lineRule="exact"/>
        <w:ind w:firstLine="640"/>
        <w:jc w:val="both"/>
      </w:pPr>
      <w:r>
        <w:rPr>
          <w:rFonts w:ascii="仿宋_GB2312" w:hAnsi="仿宋_GB2312" w:eastAsia="仿宋_GB2312"/>
          <w:b w:val="0"/>
          <w:sz w:val="32"/>
        </w:rPr>
        <w:t>19.城乡社区支出(类)城乡社区公共设施(款)其他城乡社区公共设施支出(项):支出决算数为40.93万元，比上年决算减少3.79万元，下降8.47%,主要原因是：本年减少新型农村集体经济项目。</w:t>
      </w:r>
    </w:p>
    <w:p w14:paraId="17C4A2A2">
      <w:pPr>
        <w:spacing w:line="580" w:lineRule="exact"/>
        <w:ind w:firstLine="640"/>
        <w:jc w:val="both"/>
      </w:pPr>
      <w:r>
        <w:rPr>
          <w:rFonts w:ascii="仿宋_GB2312" w:hAnsi="仿宋_GB2312" w:eastAsia="仿宋_GB2312"/>
          <w:b w:val="0"/>
          <w:sz w:val="32"/>
        </w:rPr>
        <w:t>20.农林水支出(类)林业和草原(款)森林生态效益补偿(项):支出决算数为0.00万元，比上年决算减少20.00万元，下降100.00%,主要原因是：本年</w:t>
      </w:r>
      <w:r>
        <w:rPr>
          <w:rFonts w:hint="eastAsia" w:ascii="仿宋_GB2312" w:hAnsi="仿宋_GB2312" w:eastAsia="仿宋_GB2312"/>
          <w:b w:val="0"/>
          <w:sz w:val="32"/>
          <w:lang w:eastAsia="zh-CN"/>
        </w:rPr>
        <w:t>减少</w:t>
      </w:r>
      <w:r>
        <w:rPr>
          <w:rFonts w:ascii="仿宋_GB2312" w:hAnsi="仿宋_GB2312" w:eastAsia="仿宋_GB2312"/>
          <w:b w:val="0"/>
          <w:sz w:val="32"/>
        </w:rPr>
        <w:t>森林生态效益补偿补助资金。</w:t>
      </w:r>
    </w:p>
    <w:p w14:paraId="39B299EB">
      <w:pPr>
        <w:spacing w:line="580" w:lineRule="exact"/>
        <w:ind w:firstLine="640"/>
        <w:jc w:val="both"/>
      </w:pPr>
      <w:r>
        <w:rPr>
          <w:rFonts w:ascii="仿宋_GB2312" w:hAnsi="仿宋_GB2312" w:eastAsia="仿宋_GB2312"/>
          <w:b w:val="0"/>
          <w:sz w:val="32"/>
        </w:rPr>
        <w:t>21.农林水支出(类)巩固脱贫攻坚成果衔接乡村振兴(款)农村基础设施建设(项):支出决算数为37.80万元，比上年决算减少662.20万元，下降94.60%,主要原因是：本年减少岳普湖县乡村振兴示范村建设项目资金。</w:t>
      </w:r>
    </w:p>
    <w:p w14:paraId="344C49FB">
      <w:pPr>
        <w:spacing w:line="580" w:lineRule="exact"/>
        <w:ind w:firstLine="640"/>
        <w:jc w:val="both"/>
      </w:pPr>
      <w:r>
        <w:rPr>
          <w:rFonts w:ascii="仿宋_GB2312" w:hAnsi="仿宋_GB2312" w:eastAsia="仿宋_GB2312"/>
          <w:b w:val="0"/>
          <w:sz w:val="32"/>
        </w:rPr>
        <w:t>22.农林水支出(类)巩固脱贫攻坚成果衔接</w:t>
      </w:r>
      <w:r>
        <w:rPr>
          <w:rFonts w:hint="eastAsia" w:ascii="仿宋_GB2312" w:hAnsi="仿宋_GB2312" w:eastAsia="仿宋_GB2312"/>
          <w:b w:val="0"/>
          <w:sz w:val="32"/>
          <w:lang w:val="en-US" w:eastAsia="zh-CN"/>
        </w:rPr>
        <w:t>乡村振兴</w:t>
      </w:r>
      <w:r>
        <w:rPr>
          <w:rFonts w:ascii="仿宋_GB2312" w:hAnsi="仿宋_GB2312" w:eastAsia="仿宋_GB2312"/>
          <w:b w:val="0"/>
          <w:sz w:val="32"/>
        </w:rPr>
        <w:t>(款)生产发展(项):支出决算数为440.07万元，比上年决算增加440.07万元，增长100.00%,主要原因是：本年增加艾西曼镇新型农业发展设备购置项目、岳普湖县艾西曼镇农田渠系2024年中央财政</w:t>
      </w:r>
      <w:r>
        <w:rPr>
          <w:rFonts w:hint="eastAsia" w:ascii="仿宋_GB2312" w:hAnsi="仿宋_GB2312" w:eastAsia="仿宋_GB2312"/>
          <w:b w:val="0"/>
          <w:sz w:val="32"/>
          <w:lang w:eastAsia="zh-CN"/>
        </w:rPr>
        <w:t>以工代赈项目</w:t>
      </w:r>
      <w:r>
        <w:rPr>
          <w:rFonts w:ascii="仿宋_GB2312" w:hAnsi="仿宋_GB2312" w:eastAsia="仿宋_GB2312"/>
          <w:b w:val="0"/>
          <w:sz w:val="32"/>
        </w:rPr>
        <w:t>等经费。</w:t>
      </w:r>
    </w:p>
    <w:p w14:paraId="28753648">
      <w:pPr>
        <w:spacing w:line="580" w:lineRule="exact"/>
        <w:ind w:firstLine="640"/>
        <w:jc w:val="both"/>
      </w:pPr>
      <w:r>
        <w:rPr>
          <w:rFonts w:ascii="仿宋_GB2312" w:hAnsi="仿宋_GB2312" w:eastAsia="仿宋_GB2312"/>
          <w:b w:val="0"/>
          <w:sz w:val="32"/>
        </w:rPr>
        <w:t>23.农林水支出(类)农村综合改革(款)对村级公益事业建设的补助(项):支出决算数为46.62万元，比上年决算增加46.62万元，增长100.00%,主要原因是：本年增</w:t>
      </w:r>
      <w:r>
        <w:rPr>
          <w:rFonts w:hint="eastAsia" w:ascii="仿宋_GB2312" w:hAnsi="仿宋_GB2312" w:eastAsia="仿宋_GB2312"/>
          <w:b w:val="0"/>
          <w:sz w:val="32"/>
          <w:lang w:val="en-US" w:eastAsia="zh-CN"/>
        </w:rPr>
        <w:t>加</w:t>
      </w:r>
      <w:r>
        <w:rPr>
          <w:rFonts w:ascii="仿宋_GB2312" w:hAnsi="仿宋_GB2312" w:eastAsia="仿宋_GB2312"/>
          <w:b w:val="0"/>
          <w:sz w:val="32"/>
        </w:rPr>
        <w:t>乡镇农村综合改革转移支付资金项目。</w:t>
      </w:r>
    </w:p>
    <w:p w14:paraId="6F417932">
      <w:pPr>
        <w:spacing w:line="580" w:lineRule="exact"/>
        <w:ind w:firstLine="640"/>
        <w:jc w:val="both"/>
      </w:pPr>
      <w:r>
        <w:rPr>
          <w:rFonts w:ascii="仿宋_GB2312" w:hAnsi="仿宋_GB2312" w:eastAsia="仿宋_GB2312"/>
          <w:b w:val="0"/>
          <w:sz w:val="32"/>
        </w:rPr>
        <w:t>24.住房保障支出(类)住房改革支出(款)住房公积金(项):支出决算数为132.90万元，比上年决算增加19.89万元，增长17.60%,主要原因是：本年在职人员增加，住房公积金支出较上年增加。</w:t>
      </w:r>
    </w:p>
    <w:p w14:paraId="57CF94D8">
      <w:pPr>
        <w:spacing w:line="580" w:lineRule="exact"/>
        <w:ind w:firstLine="640"/>
        <w:jc w:val="both"/>
      </w:pPr>
      <w:r>
        <w:rPr>
          <w:rFonts w:ascii="仿宋_GB2312" w:hAnsi="仿宋_GB2312" w:eastAsia="仿宋_GB2312"/>
          <w:b w:val="0"/>
          <w:sz w:val="32"/>
        </w:rPr>
        <w:t>25.其他支出(类)其他支出(款)其他支出(项):支出决算数为20.23万元，比上年决算减少40.81万元，下降66.86%,主要原因是：本年减少2022年为民办实事项目经费，村级组织活动场所建设项目较上年减少，相应支出减少。</w:t>
      </w:r>
    </w:p>
    <w:p w14:paraId="46E0A00F">
      <w:pPr>
        <w:spacing w:line="640" w:lineRule="exact"/>
        <w:ind w:firstLine="640"/>
        <w:jc w:val="both"/>
        <w:outlineLvl w:val="2"/>
      </w:pPr>
      <w:r>
        <w:rPr>
          <w:rFonts w:ascii="黑体" w:hAnsi="黑体" w:eastAsia="黑体"/>
          <w:sz w:val="32"/>
        </w:rPr>
        <w:t>六、一般公共预算财政拨款基本支出决算情况说明</w:t>
      </w:r>
    </w:p>
    <w:p w14:paraId="019E38AE">
      <w:pPr>
        <w:spacing w:line="580" w:lineRule="exact"/>
        <w:ind w:firstLine="640"/>
        <w:jc w:val="both"/>
      </w:pPr>
      <w:r>
        <w:rPr>
          <w:rFonts w:ascii="仿宋_GB2312" w:hAnsi="仿宋_GB2312" w:eastAsia="仿宋_GB2312"/>
          <w:b w:val="0"/>
          <w:sz w:val="32"/>
        </w:rPr>
        <w:t>2024年度一般公共预算财政拨款基本支出1,847.16万元，其中：</w:t>
      </w:r>
      <w:r>
        <w:rPr>
          <w:rFonts w:ascii="仿宋_GB2312" w:hAnsi="仿宋_GB2312" w:eastAsia="仿宋_GB2312"/>
          <w:b/>
          <w:sz w:val="32"/>
        </w:rPr>
        <w:t>人员经费1,794.92万元，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w:t>
      </w:r>
    </w:p>
    <w:p w14:paraId="49ED80A0">
      <w:pPr>
        <w:spacing w:line="580" w:lineRule="exact"/>
        <w:ind w:firstLine="640"/>
        <w:jc w:val="both"/>
      </w:pPr>
      <w:r>
        <w:rPr>
          <w:rFonts w:ascii="仿宋_GB2312" w:hAnsi="仿宋_GB2312" w:eastAsia="仿宋_GB2312"/>
          <w:b/>
          <w:sz w:val="32"/>
        </w:rPr>
        <w:t>公用经费52.23万元，</w:t>
      </w:r>
      <w:r>
        <w:rPr>
          <w:rFonts w:ascii="仿宋_GB2312" w:hAnsi="仿宋_GB2312" w:eastAsia="仿宋_GB2312"/>
          <w:b w:val="0"/>
          <w:sz w:val="32"/>
        </w:rPr>
        <w:t>包括：办公费、水费、电费、邮电费、取暖费、物业管理费、委托业务费、公务用车运行维护费、公务用车购置。</w:t>
      </w:r>
    </w:p>
    <w:p w14:paraId="4D19056D">
      <w:pPr>
        <w:spacing w:line="640" w:lineRule="exact"/>
        <w:ind w:firstLine="640"/>
        <w:jc w:val="both"/>
        <w:outlineLvl w:val="2"/>
      </w:pPr>
      <w:r>
        <w:rPr>
          <w:rFonts w:ascii="黑体" w:hAnsi="黑体" w:eastAsia="黑体"/>
          <w:sz w:val="32"/>
        </w:rPr>
        <w:t>七、政府性基金预算财政拨款收入支出决算情况说明</w:t>
      </w:r>
    </w:p>
    <w:p w14:paraId="7C1971B1">
      <w:pPr>
        <w:spacing w:line="580" w:lineRule="exact"/>
        <w:ind w:firstLine="640"/>
        <w:jc w:val="both"/>
      </w:pPr>
      <w:r>
        <w:rPr>
          <w:rFonts w:ascii="仿宋_GB2312" w:hAnsi="仿宋_GB2312" w:eastAsia="仿宋_GB2312"/>
          <w:b/>
          <w:sz w:val="32"/>
        </w:rPr>
        <w:t>2024年度政府性基金预算财政拨款收入总计2.00万元，</w:t>
      </w:r>
      <w:r>
        <w:rPr>
          <w:rFonts w:ascii="仿宋_GB2312" w:hAnsi="仿宋_GB2312" w:eastAsia="仿宋_GB2312"/>
          <w:b w:val="0"/>
          <w:sz w:val="32"/>
        </w:rPr>
        <w:t>其中：年初结转和结余0.00万元，本年收入2.00万元。</w:t>
      </w:r>
      <w:r>
        <w:rPr>
          <w:rFonts w:ascii="仿宋_GB2312" w:hAnsi="仿宋_GB2312" w:eastAsia="仿宋_GB2312"/>
          <w:b/>
          <w:sz w:val="32"/>
        </w:rPr>
        <w:t>政府性基金预算财政拨款支出总计2.00万元，</w:t>
      </w:r>
      <w:r>
        <w:rPr>
          <w:rFonts w:ascii="仿宋_GB2312" w:hAnsi="仿宋_GB2312" w:eastAsia="仿宋_GB2312"/>
          <w:b w:val="0"/>
          <w:sz w:val="32"/>
        </w:rPr>
        <w:t>其中：年末结转和结余0.00万元，本年支出2.00万元。</w:t>
      </w:r>
    </w:p>
    <w:p w14:paraId="11AE7250">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增加2.00万元，增长100.00%，主要原因是：本年增加2023年彩票公益金支持体育事业发展项目，导致经费较上年增加。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年初预算数2.00万元，决算数2.00万元，预决算差异率0.00%，主要原因是：严格按照预算执行，预决算无差异。</w:t>
      </w:r>
    </w:p>
    <w:p w14:paraId="45B1063D">
      <w:pPr>
        <w:spacing w:line="580" w:lineRule="exact"/>
        <w:ind w:firstLine="640"/>
        <w:jc w:val="both"/>
      </w:pPr>
      <w:r>
        <w:rPr>
          <w:rFonts w:ascii="仿宋_GB2312" w:hAnsi="仿宋_GB2312" w:eastAsia="仿宋_GB2312"/>
          <w:b w:val="0"/>
          <w:sz w:val="32"/>
        </w:rPr>
        <w:t>政府性基金预算财政拨款支出2.00万元。</w:t>
      </w:r>
    </w:p>
    <w:p w14:paraId="0923534A">
      <w:pPr>
        <w:spacing w:line="580" w:lineRule="exact"/>
        <w:ind w:firstLine="640"/>
        <w:jc w:val="both"/>
      </w:pPr>
      <w:r>
        <w:rPr>
          <w:rFonts w:ascii="仿宋_GB2312" w:hAnsi="仿宋_GB2312" w:eastAsia="仿宋_GB2312"/>
          <w:b w:val="0"/>
          <w:sz w:val="32"/>
        </w:rPr>
        <w:t>1.其他支出(类)彩票公益金安排的支出(款)用于体育事业的彩票公益金支出(项):支出决算数为2.00万元，比上年决算增加2.00万元，增长100.00%,主要原因是：本年增加2023年彩票公益金支持体育事业发展项目，导致经费较上年增加。</w:t>
      </w:r>
    </w:p>
    <w:p w14:paraId="20AC35C3">
      <w:pPr>
        <w:spacing w:line="640" w:lineRule="exact"/>
        <w:ind w:firstLine="640"/>
        <w:jc w:val="both"/>
        <w:outlineLvl w:val="2"/>
      </w:pPr>
      <w:r>
        <w:rPr>
          <w:rFonts w:ascii="黑体" w:hAnsi="黑体" w:eastAsia="黑体"/>
          <w:sz w:val="32"/>
        </w:rPr>
        <w:t>八、国有资本经营预算财政拨款收入支出决算情况说明</w:t>
      </w:r>
    </w:p>
    <w:p w14:paraId="035AF79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3A658A0">
      <w:pPr>
        <w:spacing w:line="640" w:lineRule="exact"/>
        <w:ind w:firstLine="640"/>
        <w:jc w:val="both"/>
        <w:outlineLvl w:val="2"/>
      </w:pPr>
      <w:r>
        <w:rPr>
          <w:rFonts w:ascii="黑体" w:hAnsi="黑体" w:eastAsia="黑体"/>
          <w:sz w:val="32"/>
        </w:rPr>
        <w:t>九、财政拨款“三公”经费支出决算情况说明</w:t>
      </w:r>
    </w:p>
    <w:p w14:paraId="5E9313D8">
      <w:pPr>
        <w:spacing w:line="580" w:lineRule="exact"/>
        <w:ind w:firstLine="640"/>
        <w:jc w:val="both"/>
      </w:pPr>
      <w:r>
        <w:rPr>
          <w:rFonts w:ascii="仿宋_GB2312" w:hAnsi="仿宋_GB2312" w:eastAsia="仿宋_GB2312"/>
          <w:b/>
          <w:sz w:val="32"/>
        </w:rPr>
        <w:t>2024年度财政拨款“三公”经费支出27.02万元，</w:t>
      </w:r>
      <w:r>
        <w:rPr>
          <w:rFonts w:ascii="仿宋_GB2312" w:hAnsi="仿宋_GB2312" w:eastAsia="仿宋_GB2312"/>
          <w:b w:val="0"/>
          <w:sz w:val="32"/>
        </w:rPr>
        <w:t>比上年增加15.02万元，增长125.17%，主要原因是：本年新购入公务用车，导致公务用车</w:t>
      </w:r>
      <w:r>
        <w:rPr>
          <w:rFonts w:hint="eastAsia" w:ascii="仿宋_GB2312" w:hAnsi="仿宋_GB2312" w:eastAsia="仿宋_GB2312"/>
          <w:b w:val="0"/>
          <w:sz w:val="32"/>
          <w:lang w:val="en-US" w:eastAsia="zh-CN"/>
        </w:rPr>
        <w:t>购置及</w:t>
      </w:r>
      <w:r>
        <w:rPr>
          <w:rFonts w:ascii="仿宋_GB2312" w:hAnsi="仿宋_GB2312" w:eastAsia="仿宋_GB2312"/>
          <w:b w:val="0"/>
          <w:sz w:val="32"/>
        </w:rPr>
        <w:t>运行维护费较上年增加。其中：因公出国（境）费支出0.00万元，占0.00%，比上年增加0.00万元，增长0.00%，主要原因是：2023年与2024年均未安排因公出国（境）费支出。公务用车购置及运行维护费支出27.02万元，占100.00%，比上年增加15.02万元，增长125.17%，主要原因是：本年新购入公务用车，导致公务用车</w:t>
      </w:r>
      <w:r>
        <w:rPr>
          <w:rFonts w:hint="eastAsia" w:ascii="仿宋_GB2312" w:hAnsi="仿宋_GB2312" w:eastAsia="仿宋_GB2312"/>
          <w:b w:val="0"/>
          <w:sz w:val="32"/>
          <w:lang w:val="en-US" w:eastAsia="zh-CN"/>
        </w:rPr>
        <w:t>购置及</w:t>
      </w:r>
      <w:r>
        <w:rPr>
          <w:rFonts w:ascii="仿宋_GB2312" w:hAnsi="仿宋_GB2312" w:eastAsia="仿宋_GB2312"/>
          <w:b w:val="0"/>
          <w:sz w:val="32"/>
        </w:rPr>
        <w:t>运行维护费较上年增加。公务接待费支出0.00万元，占0.00%，比上年增加0.00万元，增长0.00%，主要原因是：2023年与2024年均未安排公务接待费支出。</w:t>
      </w:r>
    </w:p>
    <w:p w14:paraId="5422F8CE">
      <w:pPr>
        <w:spacing w:line="580" w:lineRule="exact"/>
        <w:ind w:firstLine="640"/>
        <w:jc w:val="both"/>
      </w:pPr>
      <w:r>
        <w:rPr>
          <w:rFonts w:ascii="仿宋_GB2312" w:hAnsi="仿宋_GB2312" w:eastAsia="仿宋_GB2312"/>
          <w:b/>
          <w:sz w:val="32"/>
        </w:rPr>
        <w:t>具体情况如下：</w:t>
      </w:r>
    </w:p>
    <w:p w14:paraId="5FAD238B">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D57045B">
      <w:pPr>
        <w:spacing w:line="580" w:lineRule="exact"/>
        <w:ind w:firstLine="640"/>
        <w:jc w:val="both"/>
      </w:pPr>
      <w:r>
        <w:rPr>
          <w:rFonts w:ascii="仿宋_GB2312" w:hAnsi="仿宋_GB2312" w:eastAsia="仿宋_GB2312"/>
          <w:b w:val="0"/>
          <w:sz w:val="32"/>
        </w:rPr>
        <w:t>公务用车购置及运行维护费27.02万元，其中：公务用车购置费13.98万元，公务用车运行维护费13.04万元。公务用车运行维护费开支内容包括车辆加油费、维修费、保险费、审车费、过路费等。公务用车购置数1辆，公务用车保有量13辆。国有资产占用情况中固定资产车辆13辆，与公务用车保有量差异原因是：本单位固定资产车辆与公务用车保有量一致无差异。</w:t>
      </w:r>
    </w:p>
    <w:p w14:paraId="7F39D41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AD605E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27.02万元，决算数27.02万元，预决算差异率0.00%，主要原因是：严格按照预算执行，预决算无差异。其中：因公出国（境）费全年预算数0.00万元，决算数0.00万元，预决算差异率0.00%，主要原因是：本单位无因公出国（境）费。公务用车购置费全年预算数13.98万元，决算数13.98万元，预决算差异率0.00%，主要原因是：严格按照预算执行，预决算无差异。公务用车运行维护费全年预算数13.04万元，决算数13.04万元，预决算差异率0.00%，主要原因是：严格按照预算执行，预决算无差异。公务接待费全年预算数0.00万元，决算数0.00万元，预决算差异率0.00%，主要原因是：本单位无公务接待费。</w:t>
      </w:r>
    </w:p>
    <w:p w14:paraId="14F28811">
      <w:pPr>
        <w:spacing w:line="640" w:lineRule="exact"/>
        <w:ind w:firstLine="640"/>
        <w:jc w:val="both"/>
        <w:outlineLvl w:val="2"/>
      </w:pPr>
      <w:r>
        <w:rPr>
          <w:rFonts w:ascii="黑体" w:hAnsi="黑体" w:eastAsia="黑体"/>
          <w:sz w:val="32"/>
        </w:rPr>
        <w:t>十、其他重要事项的情况说明</w:t>
      </w:r>
    </w:p>
    <w:p w14:paraId="66B84874">
      <w:pPr>
        <w:spacing w:line="640" w:lineRule="exact"/>
        <w:ind w:firstLine="640"/>
        <w:jc w:val="both"/>
        <w:outlineLvl w:val="3"/>
      </w:pPr>
      <w:r>
        <w:rPr>
          <w:rFonts w:ascii="楷体_GB2312" w:hAnsi="楷体_GB2312" w:eastAsia="楷体_GB2312"/>
          <w:b/>
          <w:sz w:val="32"/>
        </w:rPr>
        <w:t>（一）机关运行经费及公用经费支出情况</w:t>
      </w:r>
    </w:p>
    <w:p w14:paraId="669B1C4E">
      <w:pPr>
        <w:spacing w:line="580" w:lineRule="exact"/>
        <w:ind w:firstLine="640"/>
        <w:jc w:val="both"/>
      </w:pPr>
      <w:r>
        <w:rPr>
          <w:rFonts w:ascii="仿宋_GB2312" w:hAnsi="仿宋_GB2312" w:eastAsia="仿宋_GB2312"/>
          <w:b w:val="0"/>
          <w:sz w:val="32"/>
        </w:rPr>
        <w:t>2024年度岳普湖县艾西曼镇人民政府（行政单位和参照公务员法管理事业单位）机关运行经费支出52.23万元，比上年增加6.90万元，增长15.22%，主要原因是：</w:t>
      </w:r>
      <w:bookmarkStart w:id="0" w:name="_GoBack"/>
      <w:r>
        <w:rPr>
          <w:rFonts w:ascii="仿宋_GB2312" w:hAnsi="仿宋_GB2312" w:eastAsia="仿宋_GB2312"/>
          <w:b w:val="0"/>
          <w:sz w:val="32"/>
        </w:rPr>
        <w:t>本年在职人员增加，办公费用增加。</w:t>
      </w:r>
    </w:p>
    <w:p w14:paraId="30798DEF">
      <w:pPr>
        <w:spacing w:line="640" w:lineRule="exact"/>
        <w:ind w:firstLine="640"/>
        <w:jc w:val="both"/>
        <w:outlineLvl w:val="3"/>
      </w:pPr>
      <w:r>
        <w:rPr>
          <w:rFonts w:ascii="楷体_GB2312" w:hAnsi="楷体_GB2312" w:eastAsia="楷体_GB2312"/>
          <w:b/>
          <w:sz w:val="32"/>
        </w:rPr>
        <w:t>（二）政府采购情况</w:t>
      </w:r>
    </w:p>
    <w:bookmarkEnd w:id="0"/>
    <w:p w14:paraId="3D3554A9">
      <w:pPr>
        <w:spacing w:line="580" w:lineRule="exact"/>
        <w:ind w:firstLine="640"/>
        <w:jc w:val="both"/>
      </w:pPr>
      <w:r>
        <w:rPr>
          <w:rFonts w:ascii="仿宋_GB2312" w:hAnsi="仿宋_GB2312" w:eastAsia="仿宋_GB2312"/>
          <w:b w:val="0"/>
          <w:sz w:val="32"/>
        </w:rPr>
        <w:t>2024年度政府采购支出总额218.53万元，其中：政府采购货物支出213.61万元、政府采购工程支出0.00万元、政府采购服务支出4.93万元。</w:t>
      </w:r>
    </w:p>
    <w:p w14:paraId="6BAC424C">
      <w:pPr>
        <w:spacing w:line="580" w:lineRule="exact"/>
        <w:ind w:firstLine="640"/>
        <w:jc w:val="both"/>
      </w:pPr>
      <w:r>
        <w:rPr>
          <w:rFonts w:ascii="仿宋_GB2312" w:hAnsi="仿宋_GB2312" w:eastAsia="仿宋_GB2312"/>
          <w:b w:val="0"/>
          <w:sz w:val="32"/>
        </w:rPr>
        <w:t>授予中小企业合同金额204.55万元，占政府采购支出总额的93.60%，其中：授予小微企业合同金额8.47万元，占政府采购支出总额的3.88%。</w:t>
      </w:r>
    </w:p>
    <w:p w14:paraId="73B707E1">
      <w:pPr>
        <w:spacing w:line="640" w:lineRule="exact"/>
        <w:ind w:firstLine="640"/>
        <w:jc w:val="both"/>
        <w:outlineLvl w:val="3"/>
      </w:pPr>
      <w:r>
        <w:rPr>
          <w:rFonts w:ascii="楷体_GB2312" w:hAnsi="楷体_GB2312" w:eastAsia="楷体_GB2312"/>
          <w:b/>
          <w:sz w:val="32"/>
        </w:rPr>
        <w:t>（三）国有资产占用情况说明</w:t>
      </w:r>
    </w:p>
    <w:p w14:paraId="460405C1">
      <w:pPr>
        <w:spacing w:line="580" w:lineRule="exact"/>
        <w:ind w:firstLine="640"/>
        <w:jc w:val="both"/>
      </w:pPr>
      <w:r>
        <w:rPr>
          <w:rFonts w:ascii="仿宋_GB2312" w:hAnsi="仿宋_GB2312" w:eastAsia="仿宋_GB2312"/>
          <w:b w:val="0"/>
          <w:sz w:val="32"/>
        </w:rPr>
        <w:t>截至2024年12月31日，房屋6,921.18平方米，价值678.86万元。车辆13辆，价值75.58万元，其中：副部（省）级及以上领导用车0辆、主要负责人用车0辆、机要通信用车0辆、应急保障用车0辆、执法执勤用车2辆、特种专业技术用车0辆、离退休干部服务用车0辆、其他用车11辆，其他用车主要是：一般公务用车。单价100万元（含）以上设备（不含车辆）0台（套）。</w:t>
      </w:r>
    </w:p>
    <w:p w14:paraId="17021C44">
      <w:pPr>
        <w:spacing w:line="640" w:lineRule="exact"/>
        <w:ind w:firstLine="640"/>
        <w:jc w:val="both"/>
        <w:outlineLvl w:val="2"/>
      </w:pPr>
      <w:r>
        <w:rPr>
          <w:rFonts w:ascii="黑体" w:hAnsi="黑体" w:eastAsia="黑体"/>
          <w:sz w:val="32"/>
        </w:rPr>
        <w:t>十一、预算绩效的情况说明</w:t>
      </w:r>
    </w:p>
    <w:p w14:paraId="3D31C389">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4,058.22万元，实际执行总额4,058.22万元；预算绩效评价项目3个，全年预算数1,243.49万元，全年执行数1,243.49万元。预算绩效管理取得的成效：严格按照相关的专项资金管理办法，实行多重审批控制专项经费的支出。项目根据实际情况做出合理预算，支出严格控制在预算范围内，本着节约成本，防止资源浪费的原则将项目成效最大化。发现的问题及原因：部分业务人员绩效管理意识有待增强，未能全面深入认识理解绩效管理工作的意义。绩效管理经验不足，预算绩效管理工作有待进一步落实。绩效指标的明确性、可衡量性、相关性还需进一步提升。预算精细化管理还需完善，预算编制管理水平仍有进一步提升的空间。下一步改进措施：加大绩效工作宣传力度，强化绩效理念。完善绩效指标，提高整体绩效目标质量。提升预算精细化管理水平。继续完善预算绩效管理相关工作制度，建立全过程预算绩效管理链条，有效贯彻落实全面实施绩效管理的精神。具体附整体支出绩效自评表，项目支出绩效自评表和评价报告。</w:t>
      </w:r>
    </w:p>
    <w:p w14:paraId="3A08B99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68048CF">
        <w:tc>
          <w:tcPr>
            <w:tcW w:w="8847" w:type="dxa"/>
            <w:gridSpan w:val="9"/>
            <w:vAlign w:val="center"/>
          </w:tcPr>
          <w:p w14:paraId="45424924">
            <w:pPr>
              <w:jc w:val="center"/>
            </w:pPr>
            <w:r>
              <w:rPr>
                <w:rFonts w:ascii="宋体" w:hAnsi="宋体" w:eastAsia="宋体"/>
                <w:sz w:val="24"/>
              </w:rPr>
              <w:t>单位整体支出绩效自评表</w:t>
            </w:r>
          </w:p>
        </w:tc>
      </w:tr>
      <w:tr w14:paraId="18A092B0">
        <w:tblPrEx>
          <w:tblCellMar>
            <w:top w:w="0" w:type="dxa"/>
            <w:left w:w="108" w:type="dxa"/>
            <w:bottom w:w="0" w:type="dxa"/>
            <w:right w:w="108" w:type="dxa"/>
          </w:tblCellMar>
        </w:tblPrEx>
        <w:tc>
          <w:tcPr>
            <w:tcW w:w="8847" w:type="dxa"/>
            <w:gridSpan w:val="9"/>
            <w:vAlign w:val="center"/>
          </w:tcPr>
          <w:p w14:paraId="0103AF5C">
            <w:pPr>
              <w:jc w:val="center"/>
            </w:pPr>
            <w:r>
              <w:rPr>
                <w:rFonts w:ascii="宋体" w:hAnsi="宋体" w:eastAsia="宋体"/>
                <w:sz w:val="24"/>
              </w:rPr>
              <w:t>（2024年度）</w:t>
            </w:r>
          </w:p>
        </w:tc>
      </w:tr>
      <w:tr w14:paraId="4F1E644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A52ADF">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88A308E">
            <w:pPr>
              <w:jc w:val="center"/>
            </w:pPr>
            <w:r>
              <w:rPr>
                <w:rFonts w:ascii="宋体" w:hAnsi="宋体" w:eastAsia="宋体"/>
                <w:sz w:val="16"/>
              </w:rPr>
              <w:t>岳普湖县艾西曼镇人民政府</w:t>
            </w:r>
          </w:p>
        </w:tc>
      </w:tr>
      <w:tr w14:paraId="1A805BC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E16FBF">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340269">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29B42B">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B3D271">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FD28F8">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18AEB8">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157EFE">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5974A">
            <w:pPr>
              <w:jc w:val="center"/>
            </w:pPr>
            <w:r>
              <w:rPr>
                <w:rFonts w:ascii="宋体" w:hAnsi="宋体" w:eastAsia="宋体"/>
                <w:sz w:val="16"/>
              </w:rPr>
              <w:t>得分</w:t>
            </w:r>
          </w:p>
        </w:tc>
      </w:tr>
      <w:tr w14:paraId="1F14AF5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4CFE2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40D4C5">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1303E1">
            <w:pPr>
              <w:jc w:val="center"/>
            </w:pPr>
            <w:r>
              <w:rPr>
                <w:rFonts w:ascii="宋体" w:hAnsi="宋体" w:eastAsia="宋体"/>
                <w:sz w:val="16"/>
              </w:rPr>
              <w:t>1,831.91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10E0C7">
            <w:pPr>
              <w:jc w:val="center"/>
            </w:pPr>
            <w:r>
              <w:rPr>
                <w:rFonts w:ascii="宋体" w:hAnsi="宋体" w:eastAsia="宋体"/>
                <w:sz w:val="16"/>
              </w:rPr>
              <w:t>4,058.22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B8A08E">
            <w:pPr>
              <w:jc w:val="center"/>
            </w:pPr>
            <w:r>
              <w:rPr>
                <w:rFonts w:ascii="宋体" w:hAnsi="宋体" w:eastAsia="宋体"/>
                <w:sz w:val="16"/>
              </w:rPr>
              <w:t>4,058.22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D2AA3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AEEE4A">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577E2">
            <w:pPr>
              <w:jc w:val="center"/>
            </w:pPr>
            <w:r>
              <w:rPr>
                <w:rFonts w:ascii="宋体" w:hAnsi="宋体" w:eastAsia="宋体"/>
                <w:sz w:val="16"/>
              </w:rPr>
              <w:t>10</w:t>
            </w:r>
          </w:p>
        </w:tc>
      </w:tr>
      <w:tr w14:paraId="581458B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27B86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F430DF">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CE3D4E">
            <w:pPr>
              <w:jc w:val="center"/>
            </w:pPr>
            <w:r>
              <w:rPr>
                <w:rFonts w:ascii="宋体" w:hAnsi="宋体" w:eastAsia="宋体"/>
                <w:sz w:val="16"/>
              </w:rPr>
              <w:t>62.73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3FF545">
            <w:pPr>
              <w:jc w:val="center"/>
            </w:pPr>
            <w:r>
              <w:rPr>
                <w:rFonts w:ascii="宋体" w:hAnsi="宋体" w:eastAsia="宋体"/>
                <w:sz w:val="16"/>
              </w:rPr>
              <w:t>883.53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685DCE">
            <w:pPr>
              <w:jc w:val="center"/>
            </w:pPr>
            <w:r>
              <w:rPr>
                <w:rFonts w:ascii="宋体" w:hAnsi="宋体" w:eastAsia="宋体"/>
                <w:sz w:val="16"/>
              </w:rPr>
              <w:t>883.53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1794F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552A6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6F1C2">
            <w:pPr>
              <w:jc w:val="center"/>
            </w:pPr>
            <w:r>
              <w:rPr>
                <w:rFonts w:ascii="宋体" w:hAnsi="宋体" w:eastAsia="宋体"/>
                <w:sz w:val="16"/>
              </w:rPr>
              <w:t>—</w:t>
            </w:r>
          </w:p>
        </w:tc>
      </w:tr>
      <w:tr w14:paraId="7A51F63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963EE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B4D1B2">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DDA51F">
            <w:pPr>
              <w:jc w:val="center"/>
            </w:pPr>
            <w:r>
              <w:rPr>
                <w:rFonts w:ascii="宋体" w:hAnsi="宋体" w:eastAsia="宋体"/>
                <w:sz w:val="16"/>
              </w:rPr>
              <w:t>1,769.18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4933BC">
            <w:pPr>
              <w:jc w:val="center"/>
            </w:pPr>
            <w:r>
              <w:rPr>
                <w:rFonts w:ascii="宋体" w:hAnsi="宋体" w:eastAsia="宋体"/>
                <w:sz w:val="16"/>
              </w:rPr>
              <w:t>1,845.80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94C96E">
            <w:pPr>
              <w:jc w:val="center"/>
            </w:pPr>
            <w:r>
              <w:rPr>
                <w:rFonts w:ascii="宋体" w:hAnsi="宋体" w:eastAsia="宋体"/>
                <w:sz w:val="16"/>
              </w:rPr>
              <w:t>1,845.80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290ED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4EEAB5">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85EE8">
            <w:pPr>
              <w:jc w:val="center"/>
            </w:pPr>
            <w:r>
              <w:rPr>
                <w:rFonts w:ascii="宋体" w:hAnsi="宋体" w:eastAsia="宋体"/>
                <w:sz w:val="16"/>
              </w:rPr>
              <w:t>—</w:t>
            </w:r>
          </w:p>
        </w:tc>
      </w:tr>
      <w:tr w14:paraId="1AEF48F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EC803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2B34C5">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3359C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4FDE6E">
            <w:pPr>
              <w:jc w:val="center"/>
            </w:pPr>
            <w:r>
              <w:rPr>
                <w:rFonts w:ascii="宋体" w:hAnsi="宋体" w:eastAsia="宋体"/>
                <w:sz w:val="16"/>
              </w:rPr>
              <w:t>1,328.89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BFAF8F">
            <w:pPr>
              <w:jc w:val="center"/>
            </w:pPr>
            <w:r>
              <w:rPr>
                <w:rFonts w:ascii="宋体" w:hAnsi="宋体" w:eastAsia="宋体"/>
                <w:sz w:val="16"/>
              </w:rPr>
              <w:t>1,328.89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315A3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1133A0">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A14F2">
            <w:pPr>
              <w:jc w:val="center"/>
            </w:pPr>
            <w:r>
              <w:rPr>
                <w:rFonts w:ascii="宋体" w:hAnsi="宋体" w:eastAsia="宋体"/>
                <w:sz w:val="16"/>
              </w:rPr>
              <w:t>—</w:t>
            </w:r>
          </w:p>
        </w:tc>
      </w:tr>
      <w:tr w14:paraId="5225787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C6087B">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C52ABF0">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782F63">
            <w:pPr>
              <w:jc w:val="center"/>
            </w:pPr>
            <w:r>
              <w:rPr>
                <w:rFonts w:ascii="宋体" w:hAnsi="宋体" w:eastAsia="宋体"/>
                <w:sz w:val="16"/>
              </w:rPr>
              <w:t>实际完成情况</w:t>
            </w:r>
          </w:p>
        </w:tc>
      </w:tr>
      <w:tr w14:paraId="6242379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14C984"/>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A050A6C">
            <w:pPr>
              <w:jc w:val="both"/>
            </w:pPr>
            <w:r>
              <w:rPr>
                <w:rFonts w:ascii="宋体" w:hAnsi="宋体" w:eastAsia="宋体"/>
                <w:sz w:val="16"/>
              </w:rPr>
              <w:t>推进乡村振兴村级数量10个，全力抓好脱贫攻坚与乡村振兴有效衔接工作。完成基层党组织建设，不断夯实党的执政基础，培养更多高素质专业化干部，保障加强党的基层组织和农村基层政权建设以及农村社会主义民主政治和法治建设。按期完成民族团结宣传教育工作，铸牢中华民族共同体意识。按期完成以就业、教育、医疗、社保等为重点的惠民工程，保障基层民生工作。提升社会公众服务能力，保障乡镇政府公信力。提升农村农业发展质量，促进农业高质高效，加快农业农村现代化，统筹推进乡镇民生福祉和经济发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8D05F8">
            <w:pPr>
              <w:jc w:val="both"/>
            </w:pPr>
            <w:r>
              <w:rPr>
                <w:rFonts w:ascii="宋体" w:hAnsi="宋体" w:eastAsia="宋体"/>
                <w:sz w:val="16"/>
              </w:rPr>
              <w:t>岳普湖县艾西曼镇人民政府已完成本年度乡村振兴推进任务，推进乡村振兴村级数量10个，巩固拓展脱贫攻坚成果，严格落实“四个不摘”要求，常态化抓好防止返贫监测帮扶机制，坚决守住不发生规模性返贫底线。已完成本年度基层党组织建设工作，完成率100%，进一步梳理职责清单，明确职责任务和行政职能，深化“五个好”党支部建设标准化规范化创建，培养更多高素质专业化干部，持续深化全面从严治党向各领域延伸，夯实党在基层的执政根基。已完成农村社会主义民主政治和法治建设政策全覆盖，覆盖率100%，坚决维护国家安全和社会稳定，学习贯彻习近平法治思想，坚持依法治理，让法制观念深入人心，让广大群众成为懂法、知法、敬法、守法的法治公民。已完成民族团结宣传教育工作，完成率100%，推进民族团结创建新成效，以网格为基础，以联户为单元，以农户为落点，常态化开展“民族团结一家亲”联谊活动，强化中华民族共同体意识、“五个认同”宣传教育。本年度已完成重点惠民工程，完成及时率100%，尽心竭力办实事、解民忧，紧紧抓住人民最关心最直接最现实的利益问题，采取更多惠民生、暖民心举措，着力破解群众</w:t>
            </w:r>
            <w:r>
              <w:rPr>
                <w:rFonts w:hint="eastAsia" w:ascii="宋体" w:hAnsi="宋体"/>
                <w:sz w:val="16"/>
                <w:lang w:eastAsia="zh-CN"/>
              </w:rPr>
              <w:t>急难愁盼问题</w:t>
            </w:r>
            <w:r>
              <w:rPr>
                <w:rFonts w:ascii="宋体" w:hAnsi="宋体" w:eastAsia="宋体"/>
                <w:sz w:val="16"/>
              </w:rPr>
              <w:t>，提高人民生活品质。</w:t>
            </w:r>
          </w:p>
        </w:tc>
      </w:tr>
      <w:tr w14:paraId="4ECC0B5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B2C39F">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B63054">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28A92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7FECE8">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F2381C">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D71D6B">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3C682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4AF211">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6F31F6">
            <w:pPr>
              <w:jc w:val="center"/>
            </w:pPr>
            <w:r>
              <w:rPr>
                <w:rFonts w:ascii="宋体" w:hAnsi="宋体" w:eastAsia="宋体"/>
                <w:sz w:val="16"/>
              </w:rPr>
              <w:t>得分</w:t>
            </w:r>
          </w:p>
        </w:tc>
      </w:tr>
      <w:tr w14:paraId="69F22BA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B1BBCC">
            <w:pPr>
              <w:jc w:val="center"/>
            </w:pPr>
            <w:r>
              <w:rPr>
                <w:rFonts w:ascii="宋体" w:hAnsi="宋体" w:eastAsia="宋体"/>
                <w:sz w:val="16"/>
              </w:rPr>
              <w:t>履职效能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1ED54D">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A39FF7">
            <w:pPr>
              <w:jc w:val="center"/>
            </w:pPr>
            <w:r>
              <w:rPr>
                <w:rFonts w:ascii="宋体" w:hAnsi="宋体" w:eastAsia="宋体"/>
                <w:sz w:val="16"/>
              </w:rPr>
              <w:t>推进乡村振兴村级数量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2F5738">
            <w:pPr>
              <w:jc w:val="center"/>
            </w:pPr>
            <w:r>
              <w:rPr>
                <w:rFonts w:ascii="宋体" w:hAnsi="宋体" w:eastAsia="宋体"/>
                <w:sz w:val="16"/>
              </w:rPr>
              <w:t>&gt;=10个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B8B63E">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4BD6AE">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10B85B">
            <w:pPr>
              <w:jc w:val="center"/>
            </w:pPr>
            <w:r>
              <w:rPr>
                <w:rFonts w:ascii="宋体" w:hAnsi="宋体" w:eastAsia="宋体"/>
                <w:sz w:val="16"/>
              </w:rPr>
              <w:t>10个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EBD83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F5CC17">
            <w:pPr>
              <w:jc w:val="center"/>
            </w:pPr>
            <w:r>
              <w:rPr>
                <w:rFonts w:ascii="宋体" w:hAnsi="宋体" w:eastAsia="宋体"/>
                <w:sz w:val="16"/>
              </w:rPr>
              <w:t>18</w:t>
            </w:r>
          </w:p>
        </w:tc>
      </w:tr>
      <w:tr w14:paraId="3502C4D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5BAE8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4BFFB5">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C335C5">
            <w:pPr>
              <w:jc w:val="center"/>
            </w:pPr>
            <w:r>
              <w:rPr>
                <w:rFonts w:ascii="宋体" w:hAnsi="宋体" w:eastAsia="宋体"/>
                <w:sz w:val="16"/>
              </w:rPr>
              <w:t>基层党组织建设工作完成率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33A5E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2F5964">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CCD7CB">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158D9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00EFD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865FF4">
            <w:pPr>
              <w:jc w:val="center"/>
            </w:pPr>
            <w:r>
              <w:rPr>
                <w:rFonts w:ascii="宋体" w:hAnsi="宋体" w:eastAsia="宋体"/>
                <w:sz w:val="16"/>
              </w:rPr>
              <w:t>18</w:t>
            </w:r>
          </w:p>
        </w:tc>
      </w:tr>
      <w:tr w14:paraId="345EB82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CC61E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F882A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D143DA">
            <w:pPr>
              <w:jc w:val="center"/>
            </w:pPr>
            <w:r>
              <w:rPr>
                <w:rFonts w:ascii="宋体" w:hAnsi="宋体" w:eastAsia="宋体"/>
                <w:sz w:val="16"/>
              </w:rPr>
              <w:t>民族团结宣传教育工作完成率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6CC07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FF18EE">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BB5B3F">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A1D01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EF50D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0FDEE7">
            <w:pPr>
              <w:jc w:val="center"/>
            </w:pPr>
            <w:r>
              <w:rPr>
                <w:rFonts w:ascii="宋体" w:hAnsi="宋体" w:eastAsia="宋体"/>
                <w:sz w:val="16"/>
              </w:rPr>
              <w:t>18</w:t>
            </w:r>
          </w:p>
        </w:tc>
      </w:tr>
      <w:tr w14:paraId="4A7592F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B3F64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4275C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4DFAB6">
            <w:pPr>
              <w:jc w:val="center"/>
            </w:pPr>
            <w:r>
              <w:rPr>
                <w:rFonts w:ascii="宋体" w:hAnsi="宋体" w:eastAsia="宋体"/>
                <w:sz w:val="16"/>
              </w:rPr>
              <w:t>农村社会主义民主政治和法治建设政策覆盖率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4B8FA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C885DC">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B5CC9E">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46F6F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3B98F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794165">
            <w:pPr>
              <w:jc w:val="center"/>
            </w:pPr>
            <w:r>
              <w:rPr>
                <w:rFonts w:ascii="宋体" w:hAnsi="宋体" w:eastAsia="宋体"/>
                <w:sz w:val="16"/>
              </w:rPr>
              <w:t>18</w:t>
            </w:r>
          </w:p>
        </w:tc>
      </w:tr>
      <w:tr w14:paraId="7B729FF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BD92C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2D0720">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440C45">
            <w:pPr>
              <w:jc w:val="center"/>
            </w:pPr>
            <w:r>
              <w:rPr>
                <w:rFonts w:ascii="宋体" w:hAnsi="宋体" w:eastAsia="宋体"/>
                <w:sz w:val="16"/>
              </w:rPr>
              <w:t>重点惠民工程完成及时率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C330E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9A37BE">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1AB5AE">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EC6FB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41456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1D4BC6">
            <w:pPr>
              <w:jc w:val="center"/>
            </w:pPr>
            <w:r>
              <w:rPr>
                <w:rFonts w:ascii="宋体" w:hAnsi="宋体" w:eastAsia="宋体"/>
                <w:sz w:val="16"/>
              </w:rPr>
              <w:t>18</w:t>
            </w:r>
          </w:p>
        </w:tc>
      </w:tr>
    </w:tbl>
    <w:p w14:paraId="6E6E8A3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4A56E476">
        <w:tblPrEx>
          <w:tblCellMar>
            <w:top w:w="0" w:type="dxa"/>
            <w:left w:w="108" w:type="dxa"/>
            <w:bottom w:w="0" w:type="dxa"/>
            <w:right w:w="108" w:type="dxa"/>
          </w:tblCellMar>
        </w:tblPrEx>
        <w:tc>
          <w:tcPr>
            <w:tcW w:w="8848" w:type="dxa"/>
            <w:gridSpan w:val="14"/>
            <w:vAlign w:val="center"/>
          </w:tcPr>
          <w:p w14:paraId="32FD402B">
            <w:pPr>
              <w:jc w:val="center"/>
            </w:pPr>
            <w:r>
              <w:rPr>
                <w:rFonts w:ascii="宋体" w:hAnsi="宋体" w:eastAsia="宋体"/>
                <w:sz w:val="24"/>
              </w:rPr>
              <w:t>项目支出绩效自评表</w:t>
            </w:r>
          </w:p>
        </w:tc>
      </w:tr>
      <w:tr w14:paraId="5EA15690">
        <w:tblPrEx>
          <w:tblCellMar>
            <w:top w:w="0" w:type="dxa"/>
            <w:left w:w="108" w:type="dxa"/>
            <w:bottom w:w="0" w:type="dxa"/>
            <w:right w:w="108" w:type="dxa"/>
          </w:tblCellMar>
        </w:tblPrEx>
        <w:tc>
          <w:tcPr>
            <w:tcW w:w="8848" w:type="dxa"/>
            <w:gridSpan w:val="14"/>
            <w:vAlign w:val="center"/>
          </w:tcPr>
          <w:p w14:paraId="445B03C7">
            <w:pPr>
              <w:jc w:val="center"/>
            </w:pPr>
            <w:r>
              <w:rPr>
                <w:rFonts w:ascii="宋体" w:hAnsi="宋体" w:eastAsia="宋体"/>
                <w:sz w:val="24"/>
              </w:rPr>
              <w:t>(2024年度)</w:t>
            </w:r>
          </w:p>
        </w:tc>
      </w:tr>
      <w:tr w14:paraId="6CED324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F032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A96B53C">
            <w:pPr>
              <w:jc w:val="center"/>
            </w:pPr>
            <w:r>
              <w:rPr>
                <w:rFonts w:ascii="宋体" w:hAnsi="宋体" w:eastAsia="宋体"/>
                <w:sz w:val="16"/>
              </w:rPr>
              <w:t>2024年乡镇工作经费项目</w:t>
            </w:r>
          </w:p>
        </w:tc>
      </w:tr>
      <w:tr w14:paraId="7E3AB47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9EC2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B3248B">
            <w:pPr>
              <w:jc w:val="center"/>
            </w:pPr>
            <w:r>
              <w:rPr>
                <w:rFonts w:ascii="宋体" w:hAnsi="宋体" w:eastAsia="宋体"/>
                <w:sz w:val="16"/>
              </w:rPr>
              <w:t>岳普湖县艾西曼镇人民政府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BFE0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A71CED4">
            <w:pPr>
              <w:jc w:val="center"/>
            </w:pPr>
            <w:r>
              <w:rPr>
                <w:rFonts w:ascii="宋体" w:hAnsi="宋体" w:eastAsia="宋体"/>
                <w:sz w:val="16"/>
              </w:rPr>
              <w:t>岳普湖县艾西曼镇人民政府</w:t>
            </w:r>
          </w:p>
        </w:tc>
      </w:tr>
      <w:tr w14:paraId="56082B7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0C224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E5DE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0FE39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8C73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76F1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9248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92E8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AA1D6">
            <w:pPr>
              <w:jc w:val="center"/>
            </w:pPr>
            <w:r>
              <w:rPr>
                <w:rFonts w:ascii="宋体" w:hAnsi="宋体" w:eastAsia="宋体"/>
                <w:sz w:val="16"/>
              </w:rPr>
              <w:t>得分</w:t>
            </w:r>
          </w:p>
        </w:tc>
      </w:tr>
      <w:tr w14:paraId="2E8BFB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0E243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7098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27B1E">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3FFB0">
            <w:pPr>
              <w:jc w:val="center"/>
            </w:pPr>
            <w:r>
              <w:rPr>
                <w:rFonts w:ascii="宋体" w:hAnsi="宋体" w:eastAsia="宋体"/>
                <w:sz w:val="16"/>
              </w:rPr>
              <w:t>95.20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7404D">
            <w:pPr>
              <w:jc w:val="center"/>
            </w:pPr>
            <w:r>
              <w:rPr>
                <w:rFonts w:ascii="宋体" w:hAnsi="宋体" w:eastAsia="宋体"/>
                <w:sz w:val="16"/>
              </w:rPr>
              <w:t>95.20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ECE8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C73E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49912">
            <w:pPr>
              <w:jc w:val="center"/>
            </w:pPr>
            <w:r>
              <w:rPr>
                <w:rFonts w:ascii="宋体" w:hAnsi="宋体" w:eastAsia="宋体"/>
                <w:sz w:val="16"/>
              </w:rPr>
              <w:t>10.00分</w:t>
            </w:r>
          </w:p>
        </w:tc>
      </w:tr>
      <w:tr w14:paraId="346EF9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1E9A4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7427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FA8EB">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6E967">
            <w:pPr>
              <w:jc w:val="center"/>
            </w:pPr>
            <w:r>
              <w:rPr>
                <w:rFonts w:ascii="宋体" w:hAnsi="宋体" w:eastAsia="宋体"/>
                <w:sz w:val="16"/>
              </w:rPr>
              <w:t>95.20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D3BE8B">
            <w:pPr>
              <w:jc w:val="center"/>
            </w:pPr>
            <w:r>
              <w:rPr>
                <w:rFonts w:ascii="宋体" w:hAnsi="宋体" w:eastAsia="宋体"/>
                <w:sz w:val="16"/>
              </w:rPr>
              <w:t>95.20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CDAB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142D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32D3C">
            <w:pPr>
              <w:jc w:val="center"/>
            </w:pPr>
            <w:r>
              <w:rPr>
                <w:rFonts w:ascii="宋体" w:hAnsi="宋体" w:eastAsia="宋体"/>
                <w:sz w:val="16"/>
              </w:rPr>
              <w:t>—</w:t>
            </w:r>
          </w:p>
        </w:tc>
      </w:tr>
      <w:tr w14:paraId="1D3F75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E9420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D751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FCB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5C49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123A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66C7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D29AA">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89F4F">
            <w:pPr>
              <w:jc w:val="center"/>
            </w:pPr>
            <w:r>
              <w:rPr>
                <w:rFonts w:ascii="宋体" w:hAnsi="宋体" w:eastAsia="宋体"/>
                <w:sz w:val="16"/>
              </w:rPr>
              <w:t>—</w:t>
            </w:r>
          </w:p>
        </w:tc>
      </w:tr>
      <w:tr w14:paraId="06A2FF0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5E185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EB2B2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DFAF0F">
            <w:pPr>
              <w:jc w:val="center"/>
            </w:pPr>
            <w:r>
              <w:rPr>
                <w:rFonts w:ascii="宋体" w:hAnsi="宋体" w:eastAsia="宋体"/>
                <w:sz w:val="16"/>
              </w:rPr>
              <w:t>实际完成情况</w:t>
            </w:r>
          </w:p>
        </w:tc>
      </w:tr>
      <w:tr w14:paraId="5E1127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43A02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89AAAD">
            <w:pPr>
              <w:jc w:val="both"/>
            </w:pPr>
            <w:r>
              <w:rPr>
                <w:rFonts w:ascii="宋体" w:hAnsi="宋体" w:eastAsia="宋体"/>
                <w:sz w:val="16"/>
              </w:rPr>
              <w:t>根据岳普湖县实际情况，为确保岳普湖县艾西曼镇人民政府各项工作有序进行，贯彻落实好县委、县政府各项工作部署要求，为艾西曼镇人民政府提供经费保障，经费保障单位数量1个。通过项目的实施提升社会公众服务能力，保障单位日常工作顺利实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46BA3A">
            <w:pPr>
              <w:jc w:val="both"/>
            </w:pPr>
            <w:r>
              <w:rPr>
                <w:rFonts w:ascii="宋体" w:hAnsi="宋体" w:eastAsia="宋体"/>
                <w:sz w:val="16"/>
              </w:rPr>
              <w:t>项目已完成2024年度艾西曼镇人民政府经费保障任务，经费保障单位数量1个。预算执行率100%。通过项目的实施有效提升社会公众服务能力，保障单位日常工作顺利实施。</w:t>
            </w:r>
          </w:p>
        </w:tc>
      </w:tr>
      <w:tr w14:paraId="75A8B02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B78B2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9AF0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2C17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D37A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AA36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FC98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0E2E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082C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ED01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7062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125C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7A88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8F21EB">
            <w:pPr>
              <w:jc w:val="center"/>
            </w:pPr>
            <w:r>
              <w:rPr>
                <w:rFonts w:ascii="宋体" w:hAnsi="宋体" w:eastAsia="宋体"/>
                <w:sz w:val="16"/>
              </w:rPr>
              <w:t>偏差原因分析及改进措施</w:t>
            </w:r>
          </w:p>
        </w:tc>
      </w:tr>
      <w:tr w14:paraId="1FF9D9D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2DE43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D8E7C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7E75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30545">
            <w:pPr>
              <w:jc w:val="center"/>
            </w:pPr>
            <w:r>
              <w:rPr>
                <w:rFonts w:ascii="宋体" w:hAnsi="宋体" w:eastAsia="宋体"/>
                <w:sz w:val="16"/>
              </w:rPr>
              <w:t>项目经费保障单位数量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815EE">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7E5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FE03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C706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A7D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5E83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95EF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56DB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DFB4F">
            <w:pPr>
              <w:jc w:val="center"/>
            </w:pPr>
          </w:p>
        </w:tc>
      </w:tr>
      <w:tr w14:paraId="6CE6D1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2945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32522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B6F92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CED16">
            <w:pPr>
              <w:jc w:val="center"/>
            </w:pPr>
            <w:r>
              <w:rPr>
                <w:rFonts w:ascii="宋体" w:hAnsi="宋体" w:eastAsia="宋体"/>
                <w:sz w:val="16"/>
              </w:rPr>
              <w:t>项目资金保障率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24B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6B8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3F9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F515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A71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7707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F7B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AA56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FA8E9">
            <w:pPr>
              <w:jc w:val="center"/>
            </w:pPr>
          </w:p>
        </w:tc>
      </w:tr>
      <w:tr w14:paraId="4C5C62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93E4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E02E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C233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7A342">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C31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A6E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374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9C64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3A4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5783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55A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F922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83E36">
            <w:pPr>
              <w:jc w:val="center"/>
            </w:pPr>
          </w:p>
        </w:tc>
      </w:tr>
      <w:tr w14:paraId="78275A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5635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29B49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85860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A193F">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9EE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C08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B2F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DB0E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CFA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1E4A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456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6D4C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7436B">
            <w:pPr>
              <w:jc w:val="center"/>
            </w:pPr>
          </w:p>
        </w:tc>
      </w:tr>
      <w:tr w14:paraId="050149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99A7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1D70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FD79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0081D">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AAFD1">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4A5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BD77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227A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E994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BB4C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41F64">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AA6B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292EA">
            <w:pPr>
              <w:jc w:val="center"/>
            </w:pPr>
          </w:p>
        </w:tc>
      </w:tr>
      <w:tr w14:paraId="5330BA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BEDB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41BF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C724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4D77C">
            <w:pPr>
              <w:jc w:val="center"/>
            </w:pPr>
            <w:r>
              <w:rPr>
                <w:rFonts w:ascii="宋体" w:hAnsi="宋体" w:eastAsia="宋体"/>
                <w:sz w:val="16"/>
              </w:rPr>
              <w:t>经费预算控制数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4A1C8">
            <w:pPr>
              <w:jc w:val="center"/>
            </w:pPr>
            <w:r>
              <w:rPr>
                <w:rFonts w:ascii="宋体" w:hAnsi="宋体" w:eastAsia="宋体"/>
                <w:sz w:val="16"/>
              </w:rPr>
              <w:t>&lt;=95.2万元/个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787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71E10">
            <w:pPr>
              <w:jc w:val="center"/>
            </w:pPr>
            <w:r>
              <w:rPr>
                <w:rFonts w:ascii="宋体" w:hAnsi="宋体" w:eastAsia="宋体"/>
                <w:sz w:val="16"/>
              </w:rPr>
              <w:t>39.22万元/个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085A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B92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7022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72F17">
            <w:pPr>
              <w:jc w:val="center"/>
            </w:pPr>
            <w:r>
              <w:rPr>
                <w:rFonts w:ascii="宋体" w:hAnsi="宋体" w:eastAsia="宋体"/>
                <w:sz w:val="16"/>
              </w:rPr>
              <w:t>=95.2万元/个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222A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90608">
            <w:pPr>
              <w:jc w:val="center"/>
            </w:pPr>
          </w:p>
        </w:tc>
      </w:tr>
      <w:tr w14:paraId="4508A4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9596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D49E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680A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4DCA0">
            <w:pPr>
              <w:jc w:val="center"/>
            </w:pPr>
            <w:r>
              <w:rPr>
                <w:rFonts w:ascii="宋体" w:hAnsi="宋体" w:eastAsia="宋体"/>
                <w:sz w:val="16"/>
              </w:rPr>
              <w:t>保障单位日常工作顺利实施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71E93">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081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C5847">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D4540">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24D8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3CB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CE11C">
            <w:pPr>
              <w:jc w:val="center"/>
            </w:pPr>
            <w:r>
              <w:rPr>
                <w:rFonts w:ascii="宋体" w:hAnsi="宋体" w:eastAsia="宋体"/>
                <w:sz w:val="16"/>
              </w:rPr>
              <w:t>有效保障</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D7ABF">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3F7DD">
            <w:pPr>
              <w:jc w:val="center"/>
            </w:pPr>
          </w:p>
        </w:tc>
      </w:tr>
      <w:tr w14:paraId="1C65E3C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02361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8711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A1F00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3E0D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2818705"/>
        </w:tc>
      </w:tr>
    </w:tbl>
    <w:p w14:paraId="390FD1A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63DF8E55">
        <w:tblPrEx>
          <w:tblCellMar>
            <w:top w:w="0" w:type="dxa"/>
            <w:left w:w="108" w:type="dxa"/>
            <w:bottom w:w="0" w:type="dxa"/>
            <w:right w:w="108" w:type="dxa"/>
          </w:tblCellMar>
        </w:tblPrEx>
        <w:tc>
          <w:tcPr>
            <w:tcW w:w="8848" w:type="dxa"/>
            <w:gridSpan w:val="14"/>
            <w:vAlign w:val="center"/>
          </w:tcPr>
          <w:p w14:paraId="18F5BF55">
            <w:pPr>
              <w:jc w:val="center"/>
            </w:pPr>
            <w:r>
              <w:rPr>
                <w:rFonts w:ascii="宋体" w:hAnsi="宋体" w:eastAsia="宋体"/>
                <w:sz w:val="24"/>
              </w:rPr>
              <w:t>项目支出绩效自评表</w:t>
            </w:r>
          </w:p>
        </w:tc>
      </w:tr>
      <w:tr w14:paraId="75D2DC9A">
        <w:tblPrEx>
          <w:tblCellMar>
            <w:top w:w="0" w:type="dxa"/>
            <w:left w:w="108" w:type="dxa"/>
            <w:bottom w:w="0" w:type="dxa"/>
            <w:right w:w="108" w:type="dxa"/>
          </w:tblCellMar>
        </w:tblPrEx>
        <w:tc>
          <w:tcPr>
            <w:tcW w:w="8848" w:type="dxa"/>
            <w:gridSpan w:val="14"/>
            <w:vAlign w:val="center"/>
          </w:tcPr>
          <w:p w14:paraId="04CD8E00">
            <w:pPr>
              <w:jc w:val="center"/>
            </w:pPr>
            <w:r>
              <w:rPr>
                <w:rFonts w:ascii="宋体" w:hAnsi="宋体" w:eastAsia="宋体"/>
                <w:sz w:val="24"/>
              </w:rPr>
              <w:t>(2024年度)</w:t>
            </w:r>
          </w:p>
        </w:tc>
      </w:tr>
      <w:tr w14:paraId="2552C1C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2509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90275C6">
            <w:pPr>
              <w:jc w:val="center"/>
            </w:pPr>
            <w:r>
              <w:rPr>
                <w:rFonts w:ascii="宋体" w:hAnsi="宋体" w:eastAsia="宋体"/>
                <w:sz w:val="16"/>
              </w:rPr>
              <w:t>艾西曼镇偿还以前年度欠款项目</w:t>
            </w:r>
          </w:p>
        </w:tc>
      </w:tr>
      <w:tr w14:paraId="79BB796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DD29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34BB5C">
            <w:pPr>
              <w:jc w:val="center"/>
            </w:pPr>
            <w:r>
              <w:rPr>
                <w:rFonts w:ascii="宋体" w:hAnsi="宋体" w:eastAsia="宋体"/>
                <w:sz w:val="16"/>
              </w:rPr>
              <w:t>岳普湖县艾西曼镇人民政府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1710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830BD7">
            <w:pPr>
              <w:jc w:val="center"/>
            </w:pPr>
            <w:r>
              <w:rPr>
                <w:rFonts w:ascii="宋体" w:hAnsi="宋体" w:eastAsia="宋体"/>
                <w:sz w:val="16"/>
              </w:rPr>
              <w:t>岳普湖县艾西曼镇人民政府</w:t>
            </w:r>
          </w:p>
        </w:tc>
      </w:tr>
      <w:tr w14:paraId="7471CC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E6F41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DA04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5EAA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FC0F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8B0A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C4329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158E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8EAF4">
            <w:pPr>
              <w:jc w:val="center"/>
            </w:pPr>
            <w:r>
              <w:rPr>
                <w:rFonts w:ascii="宋体" w:hAnsi="宋体" w:eastAsia="宋体"/>
                <w:sz w:val="16"/>
              </w:rPr>
              <w:t>得分</w:t>
            </w:r>
          </w:p>
        </w:tc>
      </w:tr>
      <w:tr w14:paraId="27339F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F84F5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F441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93BBA">
            <w:pPr>
              <w:jc w:val="center"/>
            </w:pPr>
            <w:r>
              <w:rPr>
                <w:rFonts w:ascii="宋体" w:hAnsi="宋体" w:eastAsia="宋体"/>
                <w:sz w:val="16"/>
              </w:rPr>
              <w:t>20.23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919C2">
            <w:pPr>
              <w:jc w:val="center"/>
            </w:pPr>
            <w:r>
              <w:rPr>
                <w:rFonts w:ascii="宋体" w:hAnsi="宋体" w:eastAsia="宋体"/>
                <w:sz w:val="16"/>
              </w:rPr>
              <w:t>20.23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1549B">
            <w:pPr>
              <w:jc w:val="center"/>
            </w:pPr>
            <w:r>
              <w:rPr>
                <w:rFonts w:ascii="宋体" w:hAnsi="宋体" w:eastAsia="宋体"/>
                <w:sz w:val="16"/>
              </w:rPr>
              <w:t>20.23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C2D6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C50E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81709">
            <w:pPr>
              <w:jc w:val="center"/>
            </w:pPr>
            <w:r>
              <w:rPr>
                <w:rFonts w:ascii="宋体" w:hAnsi="宋体" w:eastAsia="宋体"/>
                <w:sz w:val="16"/>
              </w:rPr>
              <w:t>10.00分</w:t>
            </w:r>
          </w:p>
        </w:tc>
      </w:tr>
      <w:tr w14:paraId="0E74F9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97BE7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3607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E2F00">
            <w:pPr>
              <w:jc w:val="center"/>
            </w:pPr>
            <w:r>
              <w:rPr>
                <w:rFonts w:ascii="宋体" w:hAnsi="宋体" w:eastAsia="宋体"/>
                <w:sz w:val="16"/>
              </w:rPr>
              <w:t>20.23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507CF">
            <w:pPr>
              <w:jc w:val="center"/>
            </w:pPr>
            <w:r>
              <w:rPr>
                <w:rFonts w:ascii="宋体" w:hAnsi="宋体" w:eastAsia="宋体"/>
                <w:sz w:val="16"/>
              </w:rPr>
              <w:t>20.23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7B2D0">
            <w:pPr>
              <w:jc w:val="center"/>
            </w:pPr>
            <w:r>
              <w:rPr>
                <w:rFonts w:ascii="宋体" w:hAnsi="宋体" w:eastAsia="宋体"/>
                <w:sz w:val="16"/>
              </w:rPr>
              <w:t>20.23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2368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A176A">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8A697">
            <w:pPr>
              <w:jc w:val="center"/>
            </w:pPr>
            <w:r>
              <w:rPr>
                <w:rFonts w:ascii="宋体" w:hAnsi="宋体" w:eastAsia="宋体"/>
                <w:sz w:val="16"/>
              </w:rPr>
              <w:t>—</w:t>
            </w:r>
          </w:p>
        </w:tc>
      </w:tr>
      <w:tr w14:paraId="74EC56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893D6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7376B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5F2B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EE4C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47C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EAA0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320DE6">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D1357">
            <w:pPr>
              <w:jc w:val="center"/>
            </w:pPr>
            <w:r>
              <w:rPr>
                <w:rFonts w:ascii="宋体" w:hAnsi="宋体" w:eastAsia="宋体"/>
                <w:sz w:val="16"/>
              </w:rPr>
              <w:t>—</w:t>
            </w:r>
          </w:p>
        </w:tc>
      </w:tr>
      <w:tr w14:paraId="104B559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13242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53A57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8B4062">
            <w:pPr>
              <w:jc w:val="center"/>
            </w:pPr>
            <w:r>
              <w:rPr>
                <w:rFonts w:ascii="宋体" w:hAnsi="宋体" w:eastAsia="宋体"/>
                <w:sz w:val="16"/>
              </w:rPr>
              <w:t>实际完成情况</w:t>
            </w:r>
          </w:p>
        </w:tc>
      </w:tr>
      <w:tr w14:paraId="7D7815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30A92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13932C">
            <w:pPr>
              <w:jc w:val="both"/>
            </w:pPr>
            <w:r>
              <w:rPr>
                <w:rFonts w:ascii="宋体" w:hAnsi="宋体" w:eastAsia="宋体"/>
                <w:sz w:val="16"/>
              </w:rPr>
              <w:t>根据岳普湖县艾西曼镇实际情况，为响应国家政策，提升社会公众服务能力，提高政府公信力。对岳普湖县艾西曼镇2022年村级组织活动场所建设项目剩余工程款和前期费用完成本年度支付任务。偿还欠款项目数量1个。通过项目的实施提升政府部门的履约和服务能力，防范和化解地方政府隐性债务风险。</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30A429">
            <w:pPr>
              <w:jc w:val="both"/>
            </w:pPr>
            <w:r>
              <w:rPr>
                <w:rFonts w:ascii="宋体" w:hAnsi="宋体" w:eastAsia="宋体"/>
                <w:sz w:val="16"/>
              </w:rPr>
              <w:t>项目已完成2022年村级组织活动场所建设项目剩余工程款和前期费用完成本年度支付任务。偿还欠款项目数量1个。预算执行率100%。通过项目的实施有效提升政府部门的履约和服务能力，防范和化解地方政府隐性债务风险。</w:t>
            </w:r>
          </w:p>
        </w:tc>
      </w:tr>
      <w:tr w14:paraId="539A1E1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5F14F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8B12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7004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E684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201F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38BA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2FC8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CB3E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3F67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13A4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A998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356E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FB0C1">
            <w:pPr>
              <w:jc w:val="center"/>
            </w:pPr>
            <w:r>
              <w:rPr>
                <w:rFonts w:ascii="宋体" w:hAnsi="宋体" w:eastAsia="宋体"/>
                <w:sz w:val="16"/>
              </w:rPr>
              <w:t>偏差原因分析及改进措施</w:t>
            </w:r>
          </w:p>
        </w:tc>
      </w:tr>
      <w:tr w14:paraId="21D7B67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13879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57657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D2D5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69493">
            <w:pPr>
              <w:jc w:val="center"/>
            </w:pPr>
            <w:r>
              <w:rPr>
                <w:rFonts w:ascii="宋体" w:hAnsi="宋体" w:eastAsia="宋体"/>
                <w:sz w:val="16"/>
              </w:rPr>
              <w:t>偿还欠款项目数量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E4111">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37F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C5ED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5247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2A7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4D2D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A963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A8D0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4483A9">
            <w:pPr>
              <w:jc w:val="center"/>
            </w:pPr>
          </w:p>
        </w:tc>
      </w:tr>
      <w:tr w14:paraId="261D9C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DC40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A15AE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63B60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23744">
            <w:pPr>
              <w:jc w:val="center"/>
            </w:pPr>
            <w:r>
              <w:rPr>
                <w:rFonts w:ascii="宋体" w:hAnsi="宋体" w:eastAsia="宋体"/>
                <w:sz w:val="16"/>
              </w:rPr>
              <w:t>项目资金保障率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5C0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587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5123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C4E0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B29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DFDD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2EB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62EA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730FC">
            <w:pPr>
              <w:jc w:val="center"/>
            </w:pPr>
          </w:p>
        </w:tc>
      </w:tr>
      <w:tr w14:paraId="3DDDE3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1C9C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7F3D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C1DC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CD5A2">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07C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C37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067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1D05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095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317C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FD0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4E10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BBB7A">
            <w:pPr>
              <w:jc w:val="center"/>
            </w:pPr>
          </w:p>
        </w:tc>
      </w:tr>
      <w:tr w14:paraId="7369DD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18A0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AF3A2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E5C34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DFD71">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8FD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A8E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7F3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C944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E5D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0E8C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A99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E264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E4221">
            <w:pPr>
              <w:jc w:val="center"/>
            </w:pPr>
          </w:p>
        </w:tc>
      </w:tr>
      <w:tr w14:paraId="788EA6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A74B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C829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1E38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78336">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43BC3">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A81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B42F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F077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82DC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6375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1687A">
            <w:pPr>
              <w:jc w:val="center"/>
            </w:pPr>
            <w:r>
              <w:rPr>
                <w:rFonts w:ascii="宋体" w:hAnsi="宋体" w:eastAsia="宋体"/>
                <w:sz w:val="16"/>
              </w:rPr>
              <w:t>=2024年6月4日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0DE1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6C43B">
            <w:pPr>
              <w:jc w:val="center"/>
            </w:pPr>
          </w:p>
        </w:tc>
      </w:tr>
      <w:tr w14:paraId="79F1ED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CB3A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9927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4B4C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50690">
            <w:pPr>
              <w:jc w:val="center"/>
            </w:pPr>
            <w:r>
              <w:rPr>
                <w:rFonts w:ascii="宋体" w:hAnsi="宋体" w:eastAsia="宋体"/>
                <w:sz w:val="16"/>
              </w:rPr>
              <w:t>村级组织活动场所建设欠款预算控制数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642BD">
            <w:pPr>
              <w:jc w:val="center"/>
            </w:pPr>
            <w:r>
              <w:rPr>
                <w:rFonts w:ascii="宋体" w:hAnsi="宋体" w:eastAsia="宋体"/>
                <w:sz w:val="16"/>
              </w:rPr>
              <w:t>&lt;=20.23万元/个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92B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076C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88C5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B34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B26B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17AFB">
            <w:pPr>
              <w:jc w:val="center"/>
            </w:pPr>
            <w:r>
              <w:rPr>
                <w:rFonts w:ascii="宋体" w:hAnsi="宋体" w:eastAsia="宋体"/>
                <w:sz w:val="16"/>
              </w:rPr>
              <w:t>=20.23万元/个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5623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3DE79">
            <w:pPr>
              <w:jc w:val="center"/>
            </w:pPr>
          </w:p>
        </w:tc>
      </w:tr>
      <w:tr w14:paraId="449E2F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3B42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07B5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E40D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1EC6B">
            <w:pPr>
              <w:jc w:val="center"/>
            </w:pPr>
            <w:r>
              <w:rPr>
                <w:rFonts w:ascii="宋体" w:hAnsi="宋体" w:eastAsia="宋体"/>
                <w:sz w:val="16"/>
              </w:rPr>
              <w:t>提升政府部门的履约和服务能力，防范和化解地方政府隐性债务风险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10A49">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A3A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2668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198A8">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5574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540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FF8A0">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10A36">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46229">
            <w:pPr>
              <w:jc w:val="center"/>
            </w:pPr>
          </w:p>
        </w:tc>
      </w:tr>
      <w:tr w14:paraId="51028B8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345AC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9659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25DC9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AD902">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8CB6295"/>
        </w:tc>
      </w:tr>
    </w:tbl>
    <w:p w14:paraId="24630838">
      <w:r>
        <w:br w:type="page"/>
      </w:r>
    </w:p>
    <w:tbl>
      <w:tblPr>
        <w:tblStyle w:val="9"/>
        <w:tblW w:w="0" w:type="auto"/>
        <w:tblInd w:w="0" w:type="dxa"/>
        <w:tblLayout w:type="autofit"/>
        <w:tblCellMar>
          <w:top w:w="0" w:type="dxa"/>
          <w:left w:w="108" w:type="dxa"/>
          <w:bottom w:w="0" w:type="dxa"/>
          <w:right w:w="108" w:type="dxa"/>
        </w:tblCellMar>
      </w:tblPr>
      <w:tblGrid>
        <w:gridCol w:w="625"/>
        <w:gridCol w:w="614"/>
        <w:gridCol w:w="614"/>
        <w:gridCol w:w="625"/>
        <w:gridCol w:w="856"/>
        <w:gridCol w:w="619"/>
        <w:gridCol w:w="617"/>
        <w:gridCol w:w="621"/>
        <w:gridCol w:w="615"/>
        <w:gridCol w:w="614"/>
        <w:gridCol w:w="776"/>
        <w:gridCol w:w="632"/>
        <w:gridCol w:w="600"/>
        <w:gridCol w:w="632"/>
      </w:tblGrid>
      <w:tr w14:paraId="1A3B79BD">
        <w:tblPrEx>
          <w:tblCellMar>
            <w:top w:w="0" w:type="dxa"/>
            <w:left w:w="108" w:type="dxa"/>
            <w:bottom w:w="0" w:type="dxa"/>
            <w:right w:w="108" w:type="dxa"/>
          </w:tblCellMar>
        </w:tblPrEx>
        <w:tc>
          <w:tcPr>
            <w:tcW w:w="8848" w:type="dxa"/>
            <w:gridSpan w:val="14"/>
            <w:vAlign w:val="center"/>
          </w:tcPr>
          <w:p w14:paraId="5A9B8D9E">
            <w:pPr>
              <w:jc w:val="center"/>
            </w:pPr>
            <w:r>
              <w:rPr>
                <w:rFonts w:ascii="宋体" w:hAnsi="宋体" w:eastAsia="宋体"/>
                <w:sz w:val="24"/>
              </w:rPr>
              <w:t>项目支出绩效自评表</w:t>
            </w:r>
          </w:p>
        </w:tc>
      </w:tr>
      <w:tr w14:paraId="62E46DDB">
        <w:tblPrEx>
          <w:tblCellMar>
            <w:top w:w="0" w:type="dxa"/>
            <w:left w:w="108" w:type="dxa"/>
            <w:bottom w:w="0" w:type="dxa"/>
            <w:right w:w="108" w:type="dxa"/>
          </w:tblCellMar>
        </w:tblPrEx>
        <w:tc>
          <w:tcPr>
            <w:tcW w:w="8848" w:type="dxa"/>
            <w:gridSpan w:val="14"/>
            <w:vAlign w:val="center"/>
          </w:tcPr>
          <w:p w14:paraId="36148D2F">
            <w:pPr>
              <w:jc w:val="center"/>
            </w:pPr>
            <w:r>
              <w:rPr>
                <w:rFonts w:ascii="宋体" w:hAnsi="宋体" w:eastAsia="宋体"/>
                <w:sz w:val="24"/>
              </w:rPr>
              <w:t>(2024年度)</w:t>
            </w:r>
          </w:p>
        </w:tc>
      </w:tr>
      <w:tr w14:paraId="5944155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883E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7898CF2">
            <w:pPr>
              <w:jc w:val="center"/>
            </w:pPr>
            <w:r>
              <w:rPr>
                <w:rFonts w:ascii="宋体" w:hAnsi="宋体" w:eastAsia="宋体"/>
                <w:sz w:val="16"/>
              </w:rPr>
              <w:t>艾西曼镇援疆资金项目</w:t>
            </w:r>
          </w:p>
        </w:tc>
      </w:tr>
      <w:tr w14:paraId="4D14F11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C06F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2BF63E">
            <w:pPr>
              <w:jc w:val="center"/>
            </w:pPr>
            <w:r>
              <w:rPr>
                <w:rFonts w:ascii="宋体" w:hAnsi="宋体" w:eastAsia="宋体"/>
                <w:sz w:val="16"/>
              </w:rPr>
              <w:t>岳普湖县艾西曼镇人民政府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BACA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51903B0">
            <w:pPr>
              <w:jc w:val="center"/>
            </w:pPr>
            <w:r>
              <w:rPr>
                <w:rFonts w:ascii="宋体" w:hAnsi="宋体" w:eastAsia="宋体"/>
                <w:sz w:val="16"/>
              </w:rPr>
              <w:t>岳普湖县艾西曼镇人民政府</w:t>
            </w:r>
          </w:p>
        </w:tc>
      </w:tr>
      <w:tr w14:paraId="6C8CBD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14CA0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8DD4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1939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3C61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9431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6820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B8D2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572C6">
            <w:pPr>
              <w:jc w:val="center"/>
            </w:pPr>
            <w:r>
              <w:rPr>
                <w:rFonts w:ascii="宋体" w:hAnsi="宋体" w:eastAsia="宋体"/>
                <w:sz w:val="16"/>
              </w:rPr>
              <w:t>得分</w:t>
            </w:r>
          </w:p>
        </w:tc>
      </w:tr>
      <w:tr w14:paraId="7B8102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C3008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3F76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5AEE6">
            <w:pPr>
              <w:jc w:val="center"/>
            </w:pPr>
            <w:r>
              <w:rPr>
                <w:rFonts w:ascii="宋体" w:hAnsi="宋体" w:eastAsia="宋体"/>
                <w:sz w:val="16"/>
              </w:rPr>
              <w:t>1,128.06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BEABE">
            <w:pPr>
              <w:jc w:val="center"/>
            </w:pPr>
            <w:r>
              <w:rPr>
                <w:rFonts w:ascii="宋体" w:hAnsi="宋体" w:eastAsia="宋体"/>
                <w:sz w:val="16"/>
              </w:rPr>
              <w:t>1,128.06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34F76">
            <w:pPr>
              <w:jc w:val="center"/>
            </w:pPr>
            <w:r>
              <w:rPr>
                <w:rFonts w:ascii="宋体" w:hAnsi="宋体" w:eastAsia="宋体"/>
                <w:sz w:val="16"/>
              </w:rPr>
              <w:t>1,128.06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017F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5D0E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5BB2C">
            <w:pPr>
              <w:jc w:val="center"/>
            </w:pPr>
            <w:r>
              <w:rPr>
                <w:rFonts w:ascii="宋体" w:hAnsi="宋体" w:eastAsia="宋体"/>
                <w:sz w:val="16"/>
              </w:rPr>
              <w:t>10.00分</w:t>
            </w:r>
          </w:p>
        </w:tc>
      </w:tr>
      <w:tr w14:paraId="524482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71BF5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6F35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B737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377A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2B50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F0D6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0477F">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9E520">
            <w:pPr>
              <w:jc w:val="center"/>
            </w:pPr>
            <w:r>
              <w:rPr>
                <w:rFonts w:ascii="宋体" w:hAnsi="宋体" w:eastAsia="宋体"/>
                <w:sz w:val="16"/>
              </w:rPr>
              <w:t>—</w:t>
            </w:r>
          </w:p>
        </w:tc>
      </w:tr>
      <w:tr w14:paraId="02D25A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6CD11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CBB4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667D9">
            <w:pPr>
              <w:jc w:val="center"/>
            </w:pPr>
            <w:r>
              <w:rPr>
                <w:rFonts w:ascii="宋体" w:hAnsi="宋体" w:eastAsia="宋体"/>
                <w:sz w:val="16"/>
              </w:rPr>
              <w:t>1,128.06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C2A50">
            <w:pPr>
              <w:jc w:val="center"/>
            </w:pPr>
            <w:r>
              <w:rPr>
                <w:rFonts w:ascii="宋体" w:hAnsi="宋体" w:eastAsia="宋体"/>
                <w:sz w:val="16"/>
              </w:rPr>
              <w:t>1,128.06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650B2">
            <w:pPr>
              <w:jc w:val="center"/>
            </w:pPr>
            <w:r>
              <w:rPr>
                <w:rFonts w:ascii="宋体" w:hAnsi="宋体" w:eastAsia="宋体"/>
                <w:sz w:val="16"/>
              </w:rPr>
              <w:t>1,128.06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FDF5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F2F56">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CE388">
            <w:pPr>
              <w:jc w:val="center"/>
            </w:pPr>
            <w:r>
              <w:rPr>
                <w:rFonts w:ascii="宋体" w:hAnsi="宋体" w:eastAsia="宋体"/>
                <w:sz w:val="16"/>
              </w:rPr>
              <w:t>—</w:t>
            </w:r>
          </w:p>
        </w:tc>
      </w:tr>
      <w:tr w14:paraId="0176A2E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01315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082AD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898739">
            <w:pPr>
              <w:jc w:val="center"/>
            </w:pPr>
            <w:r>
              <w:rPr>
                <w:rFonts w:ascii="宋体" w:hAnsi="宋体" w:eastAsia="宋体"/>
                <w:sz w:val="16"/>
              </w:rPr>
              <w:t>实际完成情况</w:t>
            </w:r>
          </w:p>
        </w:tc>
      </w:tr>
      <w:tr w14:paraId="474E94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9B8F2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0E1D60">
            <w:pPr>
              <w:jc w:val="both"/>
            </w:pPr>
            <w:r>
              <w:rPr>
                <w:rFonts w:ascii="宋体" w:hAnsi="宋体" w:eastAsia="宋体"/>
                <w:sz w:val="16"/>
              </w:rPr>
              <w:t>根据岳普湖县实际情况，为响应地委扩大会议精神，持续深化对口援疆工作。对艾西曼镇提供援疆资金保障，完成乡村振兴等项目。援疆资金保障项目数量8个。通过项目的实施推动受援地经济发展和民生改善，为援疆工作高质量发展作出新贡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B93D32">
            <w:pPr>
              <w:jc w:val="both"/>
            </w:pPr>
            <w:r>
              <w:rPr>
                <w:rFonts w:ascii="宋体" w:hAnsi="宋体" w:eastAsia="宋体"/>
                <w:sz w:val="16"/>
              </w:rPr>
              <w:t>项目已完成艾西曼镇援疆资金2024年度保障任务，完成乡村振兴、一抓两促等项目尾款、进度款、审计费、监理费等支付任务。援疆资金保障项目数量8个。预算执行率100%。通过项目的实施有效推动受援地经济发展和民生改善，为援疆工作高质量发展作出新贡献。</w:t>
            </w:r>
          </w:p>
        </w:tc>
      </w:tr>
      <w:tr w14:paraId="3A9E27D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FBC00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D2EE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A6A2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0173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1211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91D2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ACF9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B45D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BDBB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0BDE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6E1A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6F48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B81AA">
            <w:pPr>
              <w:jc w:val="center"/>
            </w:pPr>
            <w:r>
              <w:rPr>
                <w:rFonts w:ascii="宋体" w:hAnsi="宋体" w:eastAsia="宋体"/>
                <w:sz w:val="16"/>
              </w:rPr>
              <w:t>偏差原因分析及改进措施</w:t>
            </w:r>
          </w:p>
        </w:tc>
      </w:tr>
      <w:tr w14:paraId="610206E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07B67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21217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1088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8D764">
            <w:pPr>
              <w:jc w:val="center"/>
            </w:pPr>
            <w:r>
              <w:rPr>
                <w:rFonts w:ascii="宋体" w:hAnsi="宋体" w:eastAsia="宋体"/>
                <w:sz w:val="16"/>
              </w:rPr>
              <w:t>援疆资金保障项目数量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1A739">
            <w:pPr>
              <w:jc w:val="center"/>
            </w:pPr>
            <w:r>
              <w:rPr>
                <w:rFonts w:ascii="宋体" w:hAnsi="宋体" w:eastAsia="宋体"/>
                <w:sz w:val="16"/>
              </w:rPr>
              <w:t>&gt;=8个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E62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F116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0C6E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C37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C82E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52CE3">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E6B8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C0B92">
            <w:pPr>
              <w:jc w:val="center"/>
            </w:pPr>
          </w:p>
        </w:tc>
      </w:tr>
      <w:tr w14:paraId="1B5739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F658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267DF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5CAE8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45232">
            <w:pPr>
              <w:jc w:val="center"/>
            </w:pPr>
            <w:r>
              <w:rPr>
                <w:rFonts w:ascii="宋体" w:hAnsi="宋体" w:eastAsia="宋体"/>
                <w:sz w:val="16"/>
              </w:rPr>
              <w:t>项目资金保障率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D9B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767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F918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720E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64A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B7A4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D3E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7E8C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3414C">
            <w:pPr>
              <w:jc w:val="center"/>
            </w:pPr>
          </w:p>
        </w:tc>
      </w:tr>
      <w:tr w14:paraId="5A0587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181F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F90A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A141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C2CC0">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9BA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DFA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0021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7A5A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BE2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2DA1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F90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B1C3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9B9C4">
            <w:pPr>
              <w:jc w:val="center"/>
            </w:pPr>
          </w:p>
        </w:tc>
      </w:tr>
      <w:tr w14:paraId="6BB1E8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85CF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7D4B6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76132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EB068">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038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565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9CC4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19D9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5E9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3C1F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AA0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7E49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6C69D">
            <w:pPr>
              <w:jc w:val="center"/>
            </w:pPr>
          </w:p>
        </w:tc>
      </w:tr>
      <w:tr w14:paraId="77F3B7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4F6D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156B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9F1F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CBBE2">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AF9F2">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606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BEE8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280E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BBAF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5A8C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054FD">
            <w:pPr>
              <w:jc w:val="center"/>
            </w:pPr>
            <w:r>
              <w:rPr>
                <w:rFonts w:ascii="宋体" w:hAnsi="宋体" w:eastAsia="宋体"/>
                <w:sz w:val="16"/>
              </w:rPr>
              <w:t>=2024年12月21日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14D4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ED1A8">
            <w:pPr>
              <w:jc w:val="center"/>
            </w:pPr>
          </w:p>
        </w:tc>
      </w:tr>
      <w:tr w14:paraId="1CFC4E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6BB4D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3B904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34FEF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D14C6">
            <w:pPr>
              <w:jc w:val="center"/>
            </w:pPr>
            <w:r>
              <w:rPr>
                <w:rFonts w:ascii="宋体" w:hAnsi="宋体" w:eastAsia="宋体"/>
                <w:sz w:val="16"/>
              </w:rPr>
              <w:t>乡村振兴项目部分预算控制数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113B4">
            <w:pPr>
              <w:jc w:val="center"/>
            </w:pPr>
            <w:r>
              <w:rPr>
                <w:rFonts w:ascii="宋体" w:hAnsi="宋体" w:eastAsia="宋体"/>
                <w:sz w:val="16"/>
              </w:rPr>
              <w:t>&lt;=767.89万元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531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0321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117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D0E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B4BB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047F8">
            <w:pPr>
              <w:jc w:val="center"/>
            </w:pPr>
            <w:r>
              <w:rPr>
                <w:rFonts w:ascii="宋体" w:hAnsi="宋体" w:eastAsia="宋体"/>
                <w:sz w:val="16"/>
              </w:rPr>
              <w:t>=767.89万元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F815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23995">
            <w:pPr>
              <w:jc w:val="center"/>
            </w:pPr>
          </w:p>
        </w:tc>
      </w:tr>
      <w:tr w14:paraId="71E25F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277E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4AC7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301E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34966">
            <w:pPr>
              <w:jc w:val="center"/>
            </w:pPr>
            <w:r>
              <w:rPr>
                <w:rFonts w:ascii="宋体" w:hAnsi="宋体" w:eastAsia="宋体"/>
                <w:sz w:val="16"/>
              </w:rPr>
              <w:t>“一抓双促”项目部分预算控制数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0EF66">
            <w:pPr>
              <w:jc w:val="center"/>
            </w:pPr>
            <w:r>
              <w:rPr>
                <w:rFonts w:ascii="宋体" w:hAnsi="宋体" w:eastAsia="宋体"/>
                <w:sz w:val="16"/>
              </w:rPr>
              <w:t>&lt;=360.17万元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5E4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33E7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C67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BC0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5286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72ADE">
            <w:pPr>
              <w:jc w:val="center"/>
            </w:pPr>
            <w:r>
              <w:rPr>
                <w:rFonts w:ascii="宋体" w:hAnsi="宋体" w:eastAsia="宋体"/>
                <w:sz w:val="16"/>
              </w:rPr>
              <w:t>=360.17万元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533A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67B7E">
            <w:pPr>
              <w:jc w:val="center"/>
            </w:pPr>
          </w:p>
        </w:tc>
      </w:tr>
      <w:tr w14:paraId="7782D2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49B9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F99D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852C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ABD4A">
            <w:pPr>
              <w:jc w:val="center"/>
            </w:pPr>
            <w:r>
              <w:rPr>
                <w:rFonts w:ascii="宋体" w:hAnsi="宋体" w:eastAsia="宋体"/>
                <w:sz w:val="16"/>
              </w:rPr>
              <w:t>推动受援地经济发展和民生改善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DF569">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08E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7CB3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688CE">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4FA3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E5B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0B49D">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A639D">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1E2F4">
            <w:pPr>
              <w:jc w:val="center"/>
            </w:pPr>
          </w:p>
        </w:tc>
      </w:tr>
      <w:tr w14:paraId="6EFEC15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6FEA1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EF9C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C1134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779E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B3C613E"/>
        </w:tc>
      </w:tr>
    </w:tbl>
    <w:p w14:paraId="24C68726">
      <w:r>
        <w:br w:type="page"/>
      </w:r>
    </w:p>
    <w:p w14:paraId="6323A7DA">
      <w:pPr>
        <w:spacing w:line="640" w:lineRule="exact"/>
        <w:ind w:firstLine="640"/>
        <w:jc w:val="both"/>
        <w:outlineLvl w:val="2"/>
      </w:pPr>
      <w:r>
        <w:rPr>
          <w:rFonts w:ascii="黑体" w:hAnsi="黑体" w:eastAsia="黑体"/>
          <w:sz w:val="32"/>
        </w:rPr>
        <w:t>十二、其他需说明的事项</w:t>
      </w:r>
    </w:p>
    <w:p w14:paraId="0EDF6E79">
      <w:pPr>
        <w:spacing w:line="580" w:lineRule="exact"/>
        <w:ind w:firstLine="640"/>
        <w:jc w:val="both"/>
      </w:pPr>
      <w:r>
        <w:rPr>
          <w:rFonts w:ascii="仿宋_GB2312" w:hAnsi="仿宋_GB2312" w:eastAsia="仿宋_GB2312"/>
          <w:b w:val="0"/>
          <w:sz w:val="32"/>
        </w:rPr>
        <w:t>本单位无其他需说明的事项。</w:t>
      </w:r>
    </w:p>
    <w:p w14:paraId="45CC5CF4">
      <w:r>
        <w:br w:type="page"/>
      </w:r>
    </w:p>
    <w:p w14:paraId="3F371A72">
      <w:pPr>
        <w:spacing w:line="240" w:lineRule="auto"/>
        <w:jc w:val="center"/>
        <w:outlineLvl w:val="1"/>
      </w:pPr>
      <w:r>
        <w:rPr>
          <w:rFonts w:ascii="黑体" w:hAnsi="黑体" w:eastAsia="黑体"/>
          <w:sz w:val="32"/>
        </w:rPr>
        <w:t>第三部分 专业名词解释</w:t>
      </w:r>
    </w:p>
    <w:p w14:paraId="1B6FA94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61CB49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8499DB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E2284A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8D421F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B620F8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A27045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DFA837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045E9C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2ECBEE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5F80D61">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C78C43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D728EA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507FDC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ECF6B99">
      <w:r>
        <w:br w:type="page"/>
      </w:r>
    </w:p>
    <w:p w14:paraId="58B8407E">
      <w:pPr>
        <w:spacing w:line="240" w:lineRule="auto"/>
        <w:jc w:val="center"/>
        <w:outlineLvl w:val="1"/>
      </w:pPr>
      <w:r>
        <w:rPr>
          <w:rFonts w:ascii="黑体" w:hAnsi="黑体" w:eastAsia="黑体"/>
          <w:sz w:val="32"/>
        </w:rPr>
        <w:t>第四部分 部门决算报表（见附表）</w:t>
      </w:r>
    </w:p>
    <w:p w14:paraId="417236D2">
      <w:pPr>
        <w:spacing w:line="240" w:lineRule="auto"/>
        <w:ind w:firstLine="640"/>
        <w:jc w:val="both"/>
      </w:pPr>
      <w:r>
        <w:rPr>
          <w:rFonts w:ascii="仿宋_GB2312" w:hAnsi="仿宋_GB2312" w:eastAsia="仿宋_GB2312"/>
          <w:b w:val="0"/>
          <w:sz w:val="32"/>
        </w:rPr>
        <w:t>一、《收入支出决算总表》</w:t>
      </w:r>
    </w:p>
    <w:p w14:paraId="72760A86">
      <w:pPr>
        <w:spacing w:line="240" w:lineRule="auto"/>
        <w:ind w:firstLine="640"/>
        <w:jc w:val="both"/>
      </w:pPr>
      <w:r>
        <w:rPr>
          <w:rFonts w:ascii="仿宋_GB2312" w:hAnsi="仿宋_GB2312" w:eastAsia="仿宋_GB2312"/>
          <w:b w:val="0"/>
          <w:sz w:val="32"/>
        </w:rPr>
        <w:t>二、《收入决算表》</w:t>
      </w:r>
    </w:p>
    <w:p w14:paraId="4F9BAFA2">
      <w:pPr>
        <w:spacing w:line="240" w:lineRule="auto"/>
        <w:ind w:firstLine="640"/>
        <w:jc w:val="both"/>
      </w:pPr>
      <w:r>
        <w:rPr>
          <w:rFonts w:ascii="仿宋_GB2312" w:hAnsi="仿宋_GB2312" w:eastAsia="仿宋_GB2312"/>
          <w:b w:val="0"/>
          <w:sz w:val="32"/>
        </w:rPr>
        <w:t>三、《支出决算表》</w:t>
      </w:r>
    </w:p>
    <w:p w14:paraId="48D4F43A">
      <w:pPr>
        <w:spacing w:line="240" w:lineRule="auto"/>
        <w:ind w:firstLine="640"/>
        <w:jc w:val="both"/>
      </w:pPr>
      <w:r>
        <w:rPr>
          <w:rFonts w:ascii="仿宋_GB2312" w:hAnsi="仿宋_GB2312" w:eastAsia="仿宋_GB2312"/>
          <w:b w:val="0"/>
          <w:sz w:val="32"/>
        </w:rPr>
        <w:t>四、《财政拨款收入支出决算总表》</w:t>
      </w:r>
    </w:p>
    <w:p w14:paraId="7E790638">
      <w:pPr>
        <w:spacing w:line="240" w:lineRule="auto"/>
        <w:ind w:firstLine="640"/>
        <w:jc w:val="both"/>
      </w:pPr>
      <w:r>
        <w:rPr>
          <w:rFonts w:ascii="仿宋_GB2312" w:hAnsi="仿宋_GB2312" w:eastAsia="仿宋_GB2312"/>
          <w:b w:val="0"/>
          <w:sz w:val="32"/>
        </w:rPr>
        <w:t>五、《一般公共预算财政拨款支出决算表》</w:t>
      </w:r>
    </w:p>
    <w:p w14:paraId="06C31342">
      <w:pPr>
        <w:spacing w:line="240" w:lineRule="auto"/>
        <w:ind w:firstLine="640"/>
        <w:jc w:val="both"/>
      </w:pPr>
      <w:r>
        <w:rPr>
          <w:rFonts w:ascii="仿宋_GB2312" w:hAnsi="仿宋_GB2312" w:eastAsia="仿宋_GB2312"/>
          <w:b w:val="0"/>
          <w:sz w:val="32"/>
        </w:rPr>
        <w:t>六、《一般公共预算财政拨款基本支出决算表》</w:t>
      </w:r>
    </w:p>
    <w:p w14:paraId="5FCCE35D">
      <w:pPr>
        <w:spacing w:line="240" w:lineRule="auto"/>
        <w:ind w:firstLine="640"/>
        <w:jc w:val="both"/>
      </w:pPr>
      <w:r>
        <w:rPr>
          <w:rFonts w:ascii="仿宋_GB2312" w:hAnsi="仿宋_GB2312" w:eastAsia="仿宋_GB2312"/>
          <w:b w:val="0"/>
          <w:sz w:val="32"/>
        </w:rPr>
        <w:t>七、《政府性基金预算财政拨款收入支出决算表》</w:t>
      </w:r>
    </w:p>
    <w:p w14:paraId="60372E7E">
      <w:pPr>
        <w:spacing w:line="240" w:lineRule="auto"/>
        <w:ind w:firstLine="640"/>
        <w:jc w:val="both"/>
      </w:pPr>
      <w:r>
        <w:rPr>
          <w:rFonts w:ascii="仿宋_GB2312" w:hAnsi="仿宋_GB2312" w:eastAsia="仿宋_GB2312"/>
          <w:b w:val="0"/>
          <w:sz w:val="32"/>
        </w:rPr>
        <w:t>八、《国有资本经营预算财政拨款收入支出决算表》</w:t>
      </w:r>
    </w:p>
    <w:p w14:paraId="7920D93C">
      <w:pPr>
        <w:spacing w:line="240" w:lineRule="auto"/>
        <w:ind w:firstLine="640"/>
        <w:jc w:val="both"/>
      </w:pPr>
      <w:r>
        <w:rPr>
          <w:rFonts w:ascii="仿宋_GB2312" w:hAnsi="仿宋_GB2312" w:eastAsia="仿宋_GB2312"/>
          <w:b w:val="0"/>
          <w:sz w:val="32"/>
        </w:rPr>
        <w:t>九、《财政拨款“三公”经费支出决算表》</w:t>
      </w:r>
    </w:p>
    <w:p w14:paraId="62682985">
      <w:pPr>
        <w:spacing w:line="240" w:lineRule="auto"/>
        <w:ind w:firstLine="640"/>
        <w:jc w:val="both"/>
      </w:pPr>
    </w:p>
    <w:p w14:paraId="25AD0287">
      <w:pPr>
        <w:spacing w:line="240" w:lineRule="auto"/>
        <w:ind w:firstLine="640"/>
        <w:jc w:val="both"/>
      </w:pPr>
    </w:p>
    <w:p w14:paraId="07761ACF">
      <w:pPr>
        <w:spacing w:line="240" w:lineRule="auto"/>
        <w:ind w:firstLine="640"/>
        <w:jc w:val="both"/>
      </w:pPr>
    </w:p>
    <w:p w14:paraId="12D6C7FA">
      <w:pPr>
        <w:spacing w:line="240" w:lineRule="auto"/>
        <w:ind w:firstLine="640"/>
        <w:jc w:val="both"/>
      </w:pPr>
    </w:p>
    <w:p w14:paraId="0EF91A9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C7762D2-3760-457F-9366-CE3137A9500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151AC761-3FFF-4A9C-BE78-019AB55D02A6}"/>
  </w:font>
  <w:font w:name="仿宋_GB2312">
    <w:panose1 w:val="02010609030101010101"/>
    <w:charset w:val="86"/>
    <w:family w:val="modern"/>
    <w:pitch w:val="default"/>
    <w:sig w:usb0="00000001" w:usb1="080E0000" w:usb2="00000000" w:usb3="00000000" w:csb0="00040000" w:csb1="00000000"/>
    <w:embedRegular r:id="rId3" w:fontKey="{47AAC682-F687-46C8-B7D3-16A1230ED28D}"/>
  </w:font>
  <w:font w:name="楷体_GB2312">
    <w:panose1 w:val="02010609030101010101"/>
    <w:charset w:val="86"/>
    <w:family w:val="auto"/>
    <w:pitch w:val="default"/>
    <w:sig w:usb0="00000001" w:usb1="080E0000" w:usb2="00000000" w:usb3="00000000" w:csb0="00040000" w:csb1="00000000"/>
    <w:embedRegular r:id="rId4" w:fontKey="{CC1C2F9D-AC02-464D-AB68-4CB58904A082}"/>
  </w:font>
  <w:font w:name="微软雅黑">
    <w:panose1 w:val="020B0503020204020204"/>
    <w:charset w:val="86"/>
    <w:family w:val="auto"/>
    <w:pitch w:val="default"/>
    <w:sig w:usb0="80000287" w:usb1="2ACF3C50" w:usb2="00000016" w:usb3="00000000" w:csb0="0004001F" w:csb1="00000000"/>
  </w:font>
  <w:font w:name="方正仿宋_GB2312">
    <w:panose1 w:val="02000000000000000000"/>
    <w:charset w:val="86"/>
    <w:family w:val="auto"/>
    <w:pitch w:val="default"/>
    <w:sig w:usb0="A00002BF" w:usb1="184F6CFA" w:usb2="00000012" w:usb3="00000000" w:csb0="00040001" w:csb1="00000000"/>
    <w:embedRegular r:id="rId5" w:fontKey="{DD620BD4-114B-43ED-8D4A-E6DFF46B0CA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DD7097A"/>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8A01FD"/>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5185</Words>
  <Characters>6167</Characters>
  <Lines>0</Lines>
  <Paragraphs>0</Paragraphs>
  <TotalTime>9</TotalTime>
  <ScaleCrop>false</ScaleCrop>
  <LinksUpToDate>false</LinksUpToDate>
  <CharactersWithSpaces>6175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2025-09-12T10:11:18Z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