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D10349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岳普湖县阿洪鲁库木乡人民政府2024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B2111FE">
      <w:r>
        <w:br w:type="page"/>
      </w:r>
    </w:p>
    <w:p w14:paraId="1B73D0EB">
      <w:pPr>
        <w:spacing w:line="640" w:lineRule="exact"/>
        <w:jc w:val="center"/>
        <w:outlineLvl w:val="1"/>
      </w:pPr>
      <w:r>
        <w:rPr>
          <w:rFonts w:ascii="黑体" w:hAnsi="黑体" w:eastAsia="黑体"/>
          <w:sz w:val="32"/>
        </w:rPr>
        <w:t>第一部分 单位概况</w:t>
      </w:r>
    </w:p>
    <w:p w14:paraId="14ACCCE3">
      <w:pPr>
        <w:spacing w:line="640" w:lineRule="exact"/>
        <w:ind w:firstLine="640"/>
        <w:jc w:val="both"/>
        <w:outlineLvl w:val="2"/>
      </w:pPr>
      <w:r>
        <w:rPr>
          <w:rFonts w:ascii="黑体" w:hAnsi="黑体" w:eastAsia="黑体"/>
          <w:sz w:val="32"/>
        </w:rPr>
        <w:t>一、主要职能</w:t>
      </w:r>
    </w:p>
    <w:p w14:paraId="0CAD6BDE">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根据党的路线、方针、政策和县委的指示、决议，结合本县实际，牢固树立为经济建设中心服务的指导思想，制定乡</w:t>
      </w:r>
      <w:r>
        <w:rPr>
          <w:rFonts w:hint="eastAsia" w:ascii="仿宋_GB2312" w:hAnsi="仿宋_GB2312" w:eastAsia="仿宋_GB2312"/>
          <w:sz w:val="32"/>
          <w:lang w:eastAsia="zh-CN"/>
        </w:rPr>
        <w:t>党委、政府</w:t>
      </w:r>
      <w:r>
        <w:rPr>
          <w:rFonts w:ascii="仿宋_GB2312" w:hAnsi="仿宋_GB2312" w:eastAsia="仿宋_GB2312"/>
          <w:sz w:val="32"/>
        </w:rPr>
        <w:t>年度工作要点，经县委审批后，认真贯彻执行。</w:t>
      </w:r>
    </w:p>
    <w:p w14:paraId="5EB9FBC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开展乡</w:t>
      </w:r>
      <w:r>
        <w:rPr>
          <w:rFonts w:hint="eastAsia" w:ascii="仿宋_GB2312" w:hAnsi="仿宋_GB2312" w:eastAsia="仿宋_GB2312"/>
          <w:sz w:val="32"/>
          <w:lang w:eastAsia="zh-CN"/>
        </w:rPr>
        <w:t>党委、政府</w:t>
      </w:r>
      <w:r>
        <w:rPr>
          <w:rFonts w:ascii="仿宋_GB2312" w:hAnsi="仿宋_GB2312" w:eastAsia="仿宋_GB2312"/>
          <w:sz w:val="32"/>
        </w:rPr>
        <w:t>协商和民主监督，促进党的方针政策的贯彻落实。</w:t>
      </w:r>
    </w:p>
    <w:p w14:paraId="0B248765">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认真搞好调查研究，着力为县委决策提供第一手资料，着力解决社会的难点热点问题。</w:t>
      </w:r>
    </w:p>
    <w:p w14:paraId="7C127A65">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做好乡</w:t>
      </w:r>
      <w:r>
        <w:rPr>
          <w:rFonts w:hint="eastAsia" w:ascii="仿宋_GB2312" w:hAnsi="仿宋_GB2312" w:eastAsia="仿宋_GB2312"/>
          <w:sz w:val="32"/>
          <w:lang w:eastAsia="zh-CN"/>
        </w:rPr>
        <w:t>党委、政府</w:t>
      </w:r>
      <w:r>
        <w:rPr>
          <w:rFonts w:ascii="仿宋_GB2312" w:hAnsi="仿宋_GB2312" w:eastAsia="仿宋_GB2312"/>
          <w:sz w:val="32"/>
        </w:rPr>
        <w:t>工作，尤其是要严把领导班子思想政治关，保证领导班子队伍的先进性和纯洁性，充分利用视察、会议、调研等方式调动委员参政议政的积极性。</w:t>
      </w:r>
    </w:p>
    <w:p w14:paraId="758FC7A4">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做好来信来访工作，及时处理来信来访问题，积极化解社会难点热点问题。</w:t>
      </w:r>
    </w:p>
    <w:p w14:paraId="25088F15">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加强政协机关自身建设，努力建设一支高素质的政府干部队伍。</w:t>
      </w:r>
    </w:p>
    <w:p w14:paraId="31E3C254">
      <w:pPr>
        <w:spacing w:line="640" w:lineRule="exact"/>
        <w:ind w:firstLine="640"/>
        <w:jc w:val="both"/>
        <w:outlineLvl w:val="2"/>
      </w:pPr>
      <w:r>
        <w:rPr>
          <w:rFonts w:ascii="黑体" w:hAnsi="黑体" w:eastAsia="黑体"/>
          <w:sz w:val="32"/>
        </w:rPr>
        <w:t>二、机构设置及人员情况</w:t>
      </w:r>
    </w:p>
    <w:p w14:paraId="10CFEFEF">
      <w:pPr>
        <w:spacing w:line="580" w:lineRule="exact"/>
        <w:ind w:firstLine="640"/>
        <w:jc w:val="both"/>
      </w:pPr>
      <w:r>
        <w:rPr>
          <w:rFonts w:ascii="仿宋_GB2312" w:hAnsi="仿宋_GB2312" w:eastAsia="仿宋_GB2312"/>
          <w:sz w:val="32"/>
        </w:rPr>
        <w:t>岳普湖县阿洪鲁库木乡人民政府2024年度，实有人数88人，其中：在职人员75人，减少2人；离休人员0人，增加0人；退休人员13人,减少1人。</w:t>
      </w:r>
    </w:p>
    <w:p w14:paraId="46CA6660">
      <w:pPr>
        <w:spacing w:line="580" w:lineRule="exact"/>
        <w:ind w:firstLine="640"/>
        <w:jc w:val="both"/>
      </w:pPr>
      <w:r>
        <w:rPr>
          <w:rFonts w:ascii="仿宋_GB2312" w:hAnsi="仿宋_GB2312" w:eastAsia="仿宋_GB2312"/>
          <w:sz w:val="32"/>
        </w:rPr>
        <w:t>岳普湖县阿洪鲁库木乡人民政府无下属预算单位，下设5个科室，分别是：党政办公室、党建办公室、经济发展办公室、社会事务办公室、综合执法办公室。</w:t>
      </w:r>
    </w:p>
    <w:p w14:paraId="3B551B97">
      <w:r>
        <w:br w:type="page"/>
      </w:r>
    </w:p>
    <w:p w14:paraId="3D582B66">
      <w:pPr>
        <w:spacing w:line="240" w:lineRule="auto"/>
        <w:jc w:val="center"/>
        <w:outlineLvl w:val="1"/>
      </w:pPr>
      <w:r>
        <w:rPr>
          <w:rFonts w:ascii="黑体" w:hAnsi="黑体" w:eastAsia="黑体"/>
          <w:sz w:val="32"/>
        </w:rPr>
        <w:t>第二部分 部门决算情况说明</w:t>
      </w:r>
    </w:p>
    <w:p w14:paraId="40B2C08D">
      <w:pPr>
        <w:spacing w:line="640" w:lineRule="exact"/>
        <w:ind w:firstLine="640"/>
        <w:jc w:val="both"/>
        <w:outlineLvl w:val="2"/>
      </w:pPr>
      <w:r>
        <w:rPr>
          <w:rFonts w:ascii="黑体" w:hAnsi="黑体" w:eastAsia="黑体"/>
          <w:sz w:val="32"/>
        </w:rPr>
        <w:t>一、收入支出决算总体情况说明</w:t>
      </w:r>
    </w:p>
    <w:p w14:paraId="479BCF7D">
      <w:pPr>
        <w:spacing w:line="580" w:lineRule="exact"/>
        <w:ind w:firstLine="640"/>
        <w:jc w:val="both"/>
      </w:pPr>
      <w:r>
        <w:rPr>
          <w:rFonts w:ascii="仿宋_GB2312" w:hAnsi="仿宋_GB2312" w:eastAsia="仿宋_GB2312"/>
          <w:b/>
          <w:sz w:val="32"/>
        </w:rPr>
        <w:t>2024年度收入总计1,479.24万元，</w:t>
      </w:r>
      <w:r>
        <w:rPr>
          <w:rFonts w:ascii="仿宋_GB2312" w:hAnsi="仿宋_GB2312" w:eastAsia="仿宋_GB2312"/>
          <w:b w:val="0"/>
          <w:sz w:val="32"/>
        </w:rPr>
        <w:t>其中：本年收入合计1,479.24万元，使用非财政拨款结余（含专用结余）0.00万元，年初结转和结余0.00万元。</w:t>
      </w:r>
    </w:p>
    <w:p w14:paraId="463A8BD6">
      <w:pPr>
        <w:spacing w:line="580" w:lineRule="exact"/>
        <w:ind w:firstLine="640"/>
        <w:jc w:val="both"/>
      </w:pPr>
      <w:r>
        <w:rPr>
          <w:rFonts w:ascii="仿宋_GB2312" w:hAnsi="仿宋_GB2312" w:eastAsia="仿宋_GB2312"/>
          <w:b/>
          <w:sz w:val="32"/>
        </w:rPr>
        <w:t>2024年度支出总计1,479.24万元，</w:t>
      </w:r>
      <w:r>
        <w:rPr>
          <w:rFonts w:ascii="仿宋_GB2312" w:hAnsi="仿宋_GB2312" w:eastAsia="仿宋_GB2312"/>
          <w:b w:val="0"/>
          <w:sz w:val="32"/>
        </w:rPr>
        <w:t>其中：本年支出合计1,479.24万元，结余分配0.00万元，年末结转和结余0.00万元。</w:t>
      </w:r>
    </w:p>
    <w:p w14:paraId="3EAE2B37">
      <w:pPr>
        <w:spacing w:line="580" w:lineRule="exact"/>
        <w:ind w:firstLine="640"/>
        <w:jc w:val="both"/>
      </w:pPr>
      <w:r>
        <w:rPr>
          <w:rFonts w:ascii="仿宋_GB2312" w:hAnsi="仿宋_GB2312" w:eastAsia="仿宋_GB2312"/>
          <w:b w:val="0"/>
          <w:sz w:val="32"/>
        </w:rPr>
        <w:t>收入支出总体与上年相比，减少849.41万元，下降36.48%，主要原因是：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年减少临时救助资金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乡镇业务工作经费、</w:t>
      </w:r>
      <w:r>
        <w:rPr>
          <w:rFonts w:ascii="仿宋_GB2312" w:hAnsi="仿宋_GB2312" w:eastAsia="仿宋_GB2312"/>
          <w:b w:val="0"/>
          <w:sz w:val="32"/>
        </w:rPr>
        <w:t>岳普湖县乡村振兴示范村建设项目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p>
    <w:p w14:paraId="30F85285">
      <w:pPr>
        <w:spacing w:line="640" w:lineRule="exact"/>
        <w:ind w:firstLine="640"/>
        <w:jc w:val="both"/>
        <w:outlineLvl w:val="2"/>
      </w:pPr>
      <w:r>
        <w:rPr>
          <w:rFonts w:ascii="黑体" w:hAnsi="黑体" w:eastAsia="黑体"/>
          <w:sz w:val="32"/>
        </w:rPr>
        <w:t>二、收入决算情况说明</w:t>
      </w:r>
    </w:p>
    <w:p w14:paraId="11162202">
      <w:pPr>
        <w:spacing w:line="580" w:lineRule="exact"/>
        <w:ind w:firstLine="640"/>
        <w:jc w:val="both"/>
      </w:pPr>
      <w:r>
        <w:rPr>
          <w:rFonts w:ascii="仿宋_GB2312" w:hAnsi="仿宋_GB2312" w:eastAsia="仿宋_GB2312"/>
          <w:b/>
          <w:sz w:val="32"/>
        </w:rPr>
        <w:t>本年收入1,479.24万元，</w:t>
      </w:r>
      <w:r>
        <w:rPr>
          <w:rFonts w:ascii="仿宋_GB2312" w:hAnsi="仿宋_GB2312" w:eastAsia="仿宋_GB2312"/>
          <w:b w:val="0"/>
          <w:sz w:val="32"/>
        </w:rPr>
        <w:t>其中：财政拨款收入1,428.44万元，占96.57%；上级补助收入0.00万元，占0.00%；事业收入0.00万元，占0.00%；经营收入0.00万元，占0.00%；附属单位上缴收入0.00万元，占0.00%；其他收入50.80万元，占3.43%。</w:t>
      </w:r>
    </w:p>
    <w:p w14:paraId="2775E2B5">
      <w:pPr>
        <w:spacing w:line="640" w:lineRule="exact"/>
        <w:ind w:firstLine="640"/>
        <w:jc w:val="both"/>
        <w:outlineLvl w:val="2"/>
      </w:pPr>
      <w:r>
        <w:rPr>
          <w:rFonts w:ascii="黑体" w:hAnsi="黑体" w:eastAsia="黑体"/>
          <w:sz w:val="32"/>
        </w:rPr>
        <w:t>三、支出决算情况说明</w:t>
      </w:r>
    </w:p>
    <w:p w14:paraId="64B7AD2F">
      <w:pPr>
        <w:spacing w:line="580" w:lineRule="exact"/>
        <w:ind w:firstLine="640"/>
        <w:jc w:val="both"/>
      </w:pPr>
      <w:r>
        <w:rPr>
          <w:rFonts w:ascii="仿宋_GB2312" w:hAnsi="仿宋_GB2312" w:eastAsia="仿宋_GB2312"/>
          <w:b/>
          <w:sz w:val="32"/>
        </w:rPr>
        <w:t>本年支出1,479.24万元，</w:t>
      </w:r>
      <w:r>
        <w:rPr>
          <w:rFonts w:ascii="仿宋_GB2312" w:hAnsi="仿宋_GB2312" w:eastAsia="仿宋_GB2312"/>
          <w:b w:val="0"/>
          <w:sz w:val="32"/>
        </w:rPr>
        <w:t>其中：基本支出1,330.92万元，占89.97%；项目支出148.32万元，占10.03%；上缴上级支出0.00万元，占0.00%；经营支出0.00万元，占0.00%；对附属单位补助支出0.00万元，占0.00%。</w:t>
      </w:r>
    </w:p>
    <w:p w14:paraId="202788C4">
      <w:pPr>
        <w:spacing w:line="640" w:lineRule="exact"/>
        <w:ind w:firstLine="640"/>
        <w:jc w:val="both"/>
        <w:outlineLvl w:val="2"/>
      </w:pPr>
      <w:r>
        <w:rPr>
          <w:rFonts w:ascii="黑体" w:hAnsi="黑体" w:eastAsia="黑体"/>
          <w:sz w:val="32"/>
        </w:rPr>
        <w:t>四、财政拨款收入支出决算总体情况说明</w:t>
      </w:r>
    </w:p>
    <w:p w14:paraId="60549407">
      <w:pPr>
        <w:spacing w:line="580" w:lineRule="exact"/>
        <w:ind w:firstLine="640"/>
        <w:jc w:val="both"/>
      </w:pPr>
      <w:r>
        <w:rPr>
          <w:rFonts w:ascii="仿宋_GB2312" w:hAnsi="仿宋_GB2312" w:eastAsia="仿宋_GB2312"/>
          <w:b/>
          <w:sz w:val="32"/>
        </w:rPr>
        <w:t>2024年度财政拨款收入总计1,428.44万元，</w:t>
      </w:r>
      <w:r>
        <w:rPr>
          <w:rFonts w:ascii="仿宋_GB2312" w:hAnsi="仿宋_GB2312" w:eastAsia="仿宋_GB2312"/>
          <w:b w:val="0"/>
          <w:sz w:val="32"/>
        </w:rPr>
        <w:t>其中：年初财政拨款结转和结余0.00万元，本年财政拨款收入1,428.44万元。</w:t>
      </w:r>
      <w:r>
        <w:rPr>
          <w:rFonts w:ascii="仿宋_GB2312" w:hAnsi="仿宋_GB2312" w:eastAsia="仿宋_GB2312"/>
          <w:b/>
          <w:sz w:val="32"/>
        </w:rPr>
        <w:t>财政拨款支出总计1,428.44万元，</w:t>
      </w:r>
      <w:r>
        <w:rPr>
          <w:rFonts w:ascii="仿宋_GB2312" w:hAnsi="仿宋_GB2312" w:eastAsia="仿宋_GB2312"/>
          <w:b w:val="0"/>
          <w:sz w:val="32"/>
        </w:rPr>
        <w:t>其中：年末财政拨款结转和结余0.00万元，本年财政拨款支出1,428.44万元。</w:t>
      </w:r>
    </w:p>
    <w:p w14:paraId="729D0FF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减少706.90万元，下降33.10%，主要原因是：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年减少临时救助资金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乡镇业务工作经费、</w:t>
      </w:r>
      <w:r>
        <w:rPr>
          <w:rFonts w:ascii="仿宋_GB2312" w:hAnsi="仿宋_GB2312" w:eastAsia="仿宋_GB2312"/>
          <w:b w:val="0"/>
          <w:sz w:val="32"/>
        </w:rPr>
        <w:t>岳普湖县乡村振兴示范村建设项目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年初预算数1,328.05万元，决算数1,428.44万元，预决算差异率7.56%，主要原因是：年中追加人员工资、社保、公积金基数调增部分资金，</w:t>
      </w:r>
      <w:r>
        <w:rPr>
          <w:rFonts w:hint="eastAsia" w:ascii="仿宋_GB2312" w:hAnsi="仿宋_GB2312" w:eastAsia="仿宋_GB2312"/>
          <w:b w:val="0"/>
          <w:sz w:val="32"/>
          <w:lang w:val="en-US" w:eastAsia="zh-CN"/>
        </w:rPr>
        <w:t>年中追加</w:t>
      </w:r>
      <w:r>
        <w:rPr>
          <w:rFonts w:ascii="仿宋_GB2312" w:hAnsi="仿宋_GB2312" w:eastAsia="仿宋_GB2312"/>
          <w:b w:val="0"/>
          <w:sz w:val="32"/>
        </w:rPr>
        <w:t>村级运转经费</w:t>
      </w:r>
      <w:r>
        <w:rPr>
          <w:rFonts w:hint="eastAsia" w:ascii="仿宋_GB2312" w:hAnsi="仿宋_GB2312" w:eastAsia="仿宋_GB2312"/>
          <w:b w:val="0"/>
          <w:sz w:val="32"/>
          <w:lang w:eastAsia="zh-CN"/>
        </w:rPr>
        <w:t>、</w:t>
      </w:r>
      <w:r>
        <w:rPr>
          <w:rFonts w:ascii="仿宋_GB2312" w:hAnsi="仿宋_GB2312" w:eastAsia="仿宋_GB2312"/>
          <w:b w:val="0"/>
          <w:sz w:val="32"/>
        </w:rPr>
        <w:t>中央和自治区图书馆、美术馆、文化馆（站）免费开放补助资金项目</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17220291">
      <w:pPr>
        <w:spacing w:line="640" w:lineRule="exact"/>
        <w:ind w:firstLine="640"/>
        <w:jc w:val="both"/>
        <w:outlineLvl w:val="2"/>
      </w:pPr>
      <w:r>
        <w:rPr>
          <w:rFonts w:ascii="黑体" w:hAnsi="黑体" w:eastAsia="黑体"/>
          <w:sz w:val="32"/>
        </w:rPr>
        <w:t>五、一般公共预算财政拨款支出决算情况说明</w:t>
      </w:r>
    </w:p>
    <w:p w14:paraId="70AF6286">
      <w:pPr>
        <w:spacing w:line="640" w:lineRule="exact"/>
        <w:ind w:firstLine="640"/>
        <w:jc w:val="both"/>
        <w:outlineLvl w:val="3"/>
      </w:pPr>
      <w:r>
        <w:rPr>
          <w:rFonts w:ascii="楷体_GB2312" w:hAnsi="楷体_GB2312" w:eastAsia="楷体_GB2312"/>
          <w:b/>
          <w:sz w:val="32"/>
        </w:rPr>
        <w:t>（一）一般公共预算财政拨款支出决算总体情况</w:t>
      </w:r>
    </w:p>
    <w:p w14:paraId="0D468AAC">
      <w:pPr>
        <w:spacing w:line="580" w:lineRule="exact"/>
        <w:ind w:firstLine="640"/>
        <w:jc w:val="both"/>
      </w:pPr>
      <w:r>
        <w:rPr>
          <w:rFonts w:ascii="仿宋_GB2312" w:hAnsi="仿宋_GB2312" w:eastAsia="仿宋_GB2312"/>
          <w:b/>
          <w:sz w:val="32"/>
        </w:rPr>
        <w:t>2024年度一般公共预算财政拨款支出1,427.44万元，</w:t>
      </w:r>
      <w:r>
        <w:rPr>
          <w:rFonts w:ascii="仿宋_GB2312" w:hAnsi="仿宋_GB2312" w:eastAsia="仿宋_GB2312"/>
          <w:b w:val="0"/>
          <w:sz w:val="32"/>
        </w:rPr>
        <w:t>占本年支出合计的96.50%。</w:t>
      </w:r>
      <w:r>
        <w:rPr>
          <w:rFonts w:ascii="仿宋_GB2312" w:hAnsi="仿宋_GB2312" w:eastAsia="仿宋_GB2312"/>
          <w:b/>
          <w:sz w:val="32"/>
        </w:rPr>
        <w:t>与上年相比，</w:t>
      </w:r>
      <w:r>
        <w:rPr>
          <w:rFonts w:ascii="仿宋_GB2312" w:hAnsi="仿宋_GB2312" w:eastAsia="仿宋_GB2312"/>
          <w:b w:val="0"/>
          <w:sz w:val="32"/>
        </w:rPr>
        <w:t>减少707.90万元，下降33.15%，主要原因是：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年减少临时救助资金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乡镇业务工作经费、</w:t>
      </w:r>
      <w:r>
        <w:rPr>
          <w:rFonts w:ascii="仿宋_GB2312" w:hAnsi="仿宋_GB2312" w:eastAsia="仿宋_GB2312"/>
          <w:b w:val="0"/>
          <w:sz w:val="32"/>
        </w:rPr>
        <w:t>岳普湖县乡村振兴示范村建设项目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年初预算数1,327.05万元，决算数1,427.44万元，预决算差异率7.56%，主要原因是：年中追加人员工资、社保、公积金基数调增部分资金，</w:t>
      </w:r>
      <w:r>
        <w:rPr>
          <w:rFonts w:hint="eastAsia" w:ascii="仿宋_GB2312" w:hAnsi="仿宋_GB2312" w:eastAsia="仿宋_GB2312"/>
          <w:b w:val="0"/>
          <w:sz w:val="32"/>
          <w:lang w:val="en-US" w:eastAsia="zh-CN"/>
        </w:rPr>
        <w:t>年中追加</w:t>
      </w:r>
      <w:r>
        <w:rPr>
          <w:rFonts w:ascii="仿宋_GB2312" w:hAnsi="仿宋_GB2312" w:eastAsia="仿宋_GB2312"/>
          <w:b w:val="0"/>
          <w:sz w:val="32"/>
        </w:rPr>
        <w:t>村级运转经费</w:t>
      </w:r>
      <w:r>
        <w:rPr>
          <w:rFonts w:hint="eastAsia" w:ascii="仿宋_GB2312" w:hAnsi="仿宋_GB2312" w:eastAsia="仿宋_GB2312"/>
          <w:b w:val="0"/>
          <w:sz w:val="32"/>
          <w:lang w:eastAsia="zh-CN"/>
        </w:rPr>
        <w:t>、</w:t>
      </w:r>
      <w:r>
        <w:rPr>
          <w:rFonts w:ascii="仿宋_GB2312" w:hAnsi="仿宋_GB2312" w:eastAsia="仿宋_GB2312"/>
          <w:b w:val="0"/>
          <w:sz w:val="32"/>
        </w:rPr>
        <w:t>中央和自治区图书馆、美术馆、文化馆（站）免费开放补助资金项目</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17694CAE">
      <w:pPr>
        <w:spacing w:line="640" w:lineRule="exact"/>
        <w:ind w:firstLine="640"/>
        <w:jc w:val="both"/>
        <w:outlineLvl w:val="3"/>
      </w:pPr>
      <w:r>
        <w:rPr>
          <w:rFonts w:ascii="楷体_GB2312" w:hAnsi="楷体_GB2312" w:eastAsia="楷体_GB2312"/>
          <w:b/>
          <w:sz w:val="32"/>
        </w:rPr>
        <w:t>（二）一般公共预算财政拨款支出决算结构情况</w:t>
      </w:r>
    </w:p>
    <w:p w14:paraId="5339D022">
      <w:pPr>
        <w:spacing w:line="580" w:lineRule="exact"/>
        <w:ind w:firstLine="640"/>
        <w:jc w:val="both"/>
      </w:pPr>
      <w:r>
        <w:rPr>
          <w:rFonts w:ascii="仿宋_GB2312" w:hAnsi="仿宋_GB2312" w:eastAsia="仿宋_GB2312"/>
          <w:b w:val="0"/>
          <w:sz w:val="32"/>
        </w:rPr>
        <w:t>1.一般公共服务支出(类)1,117.84万元,占78.31%。</w:t>
      </w:r>
    </w:p>
    <w:p w14:paraId="362DFFE4">
      <w:pPr>
        <w:spacing w:line="580" w:lineRule="exact"/>
        <w:ind w:firstLine="640"/>
        <w:jc w:val="both"/>
      </w:pPr>
      <w:r>
        <w:rPr>
          <w:rFonts w:ascii="仿宋_GB2312" w:hAnsi="仿宋_GB2312" w:eastAsia="仿宋_GB2312"/>
          <w:b w:val="0"/>
          <w:sz w:val="32"/>
        </w:rPr>
        <w:t>2.文化旅游体育与传媒支出(类)14.30万元,占1.00%。</w:t>
      </w:r>
    </w:p>
    <w:p w14:paraId="74DD9BB9">
      <w:pPr>
        <w:spacing w:line="580" w:lineRule="exact"/>
        <w:ind w:firstLine="640"/>
        <w:jc w:val="both"/>
      </w:pPr>
      <w:r>
        <w:rPr>
          <w:rFonts w:ascii="仿宋_GB2312" w:hAnsi="仿宋_GB2312" w:eastAsia="仿宋_GB2312"/>
          <w:b w:val="0"/>
          <w:sz w:val="32"/>
        </w:rPr>
        <w:t>3.社会保障和就业支出(类)139.48万元,占9.77%。</w:t>
      </w:r>
    </w:p>
    <w:p w14:paraId="5157E140">
      <w:pPr>
        <w:spacing w:line="580" w:lineRule="exact"/>
        <w:ind w:firstLine="640"/>
        <w:jc w:val="both"/>
      </w:pPr>
      <w:r>
        <w:rPr>
          <w:rFonts w:ascii="仿宋_GB2312" w:hAnsi="仿宋_GB2312" w:eastAsia="仿宋_GB2312"/>
          <w:b w:val="0"/>
          <w:sz w:val="32"/>
        </w:rPr>
        <w:t>4.卫生健康支出(类)60.71万元,占4.25%。</w:t>
      </w:r>
    </w:p>
    <w:p w14:paraId="43977DC3">
      <w:pPr>
        <w:spacing w:line="580" w:lineRule="exact"/>
        <w:ind w:firstLine="640"/>
        <w:jc w:val="both"/>
      </w:pPr>
      <w:r>
        <w:rPr>
          <w:rFonts w:ascii="仿宋_GB2312" w:hAnsi="仿宋_GB2312" w:eastAsia="仿宋_GB2312"/>
          <w:b w:val="0"/>
          <w:sz w:val="32"/>
        </w:rPr>
        <w:t>5.住房保障支出(类)95.10万元,占6.66%。</w:t>
      </w:r>
    </w:p>
    <w:p w14:paraId="41A6C8F6">
      <w:pPr>
        <w:spacing w:line="640" w:lineRule="exact"/>
        <w:ind w:firstLine="640"/>
        <w:jc w:val="both"/>
        <w:outlineLvl w:val="3"/>
      </w:pPr>
      <w:r>
        <w:rPr>
          <w:rFonts w:ascii="楷体_GB2312" w:hAnsi="楷体_GB2312" w:eastAsia="楷体_GB2312"/>
          <w:b/>
          <w:sz w:val="32"/>
        </w:rPr>
        <w:t>（三）一般公共预算财政拨款支出决算具体情况</w:t>
      </w:r>
    </w:p>
    <w:p w14:paraId="599350E0">
      <w:pPr>
        <w:spacing w:line="580" w:lineRule="exact"/>
        <w:ind w:firstLine="640"/>
        <w:jc w:val="both"/>
      </w:pPr>
      <w:r>
        <w:rPr>
          <w:rFonts w:ascii="仿宋_GB2312" w:hAnsi="仿宋_GB2312" w:eastAsia="仿宋_GB2312"/>
          <w:b w:val="0"/>
          <w:sz w:val="32"/>
        </w:rPr>
        <w:t>1.一般公共服务支出(类)人大事务(款)代表工作(项):支出决算数为0.25万元，比上年决算增加0.25万元，增长100.00%,主要原因是：本年功能科目调整，自治区人大代表活动经费支出</w:t>
      </w:r>
      <w:r>
        <w:rPr>
          <w:rFonts w:hint="eastAsia" w:ascii="仿宋_GB2312" w:hAnsi="仿宋_GB2312" w:eastAsia="仿宋_GB2312"/>
          <w:b w:val="0"/>
          <w:sz w:val="32"/>
          <w:lang w:val="en-US" w:eastAsia="zh-CN"/>
        </w:rPr>
        <w:t>上年在</w:t>
      </w:r>
      <w:r>
        <w:rPr>
          <w:rFonts w:ascii="仿宋_GB2312" w:hAnsi="仿宋_GB2312" w:eastAsia="仿宋_GB2312"/>
          <w:b w:val="0"/>
          <w:sz w:val="32"/>
        </w:rPr>
        <w:t>其他人大事务支出科目</w:t>
      </w:r>
      <w:r>
        <w:rPr>
          <w:rFonts w:hint="eastAsia" w:ascii="仿宋_GB2312" w:hAnsi="仿宋_GB2312" w:eastAsia="仿宋_GB2312"/>
          <w:b w:val="0"/>
          <w:sz w:val="32"/>
          <w:lang w:val="en-US" w:eastAsia="zh-CN"/>
        </w:rPr>
        <w:t>列支，本年</w:t>
      </w:r>
      <w:r>
        <w:rPr>
          <w:rFonts w:ascii="仿宋_GB2312" w:hAnsi="仿宋_GB2312" w:eastAsia="仿宋_GB2312"/>
          <w:b w:val="0"/>
          <w:sz w:val="32"/>
        </w:rPr>
        <w:t>调整至代表工作科目</w:t>
      </w:r>
      <w:r>
        <w:rPr>
          <w:rFonts w:hint="eastAsia" w:ascii="仿宋_GB2312" w:hAnsi="仿宋_GB2312" w:eastAsia="仿宋_GB2312"/>
          <w:b w:val="0"/>
          <w:sz w:val="32"/>
          <w:lang w:val="en-US" w:eastAsia="zh-CN"/>
        </w:rPr>
        <w:t>列支</w:t>
      </w:r>
      <w:r>
        <w:rPr>
          <w:rFonts w:ascii="仿宋_GB2312" w:hAnsi="仿宋_GB2312" w:eastAsia="仿宋_GB2312"/>
          <w:b w:val="0"/>
          <w:sz w:val="32"/>
        </w:rPr>
        <w:t>，相关支出增加。</w:t>
      </w:r>
    </w:p>
    <w:p w14:paraId="7801BACC">
      <w:pPr>
        <w:spacing w:line="580" w:lineRule="exact"/>
        <w:ind w:firstLine="640"/>
        <w:jc w:val="both"/>
      </w:pPr>
      <w:r>
        <w:rPr>
          <w:rFonts w:ascii="仿宋_GB2312" w:hAnsi="仿宋_GB2312" w:eastAsia="仿宋_GB2312"/>
          <w:b w:val="0"/>
          <w:sz w:val="32"/>
        </w:rPr>
        <w:t>2.一般公共服务支出(类)人大事务(款)其他人大事务支出(项):支出决算数为0.00万元，比上年决算减少0.49万元，下降100.00%,主要原因是：本年功能科目调整，自治区人大代表活动经费支出</w:t>
      </w:r>
      <w:r>
        <w:rPr>
          <w:rFonts w:hint="eastAsia" w:ascii="仿宋_GB2312" w:hAnsi="仿宋_GB2312" w:eastAsia="仿宋_GB2312"/>
          <w:b w:val="0"/>
          <w:sz w:val="32"/>
          <w:lang w:val="en-US" w:eastAsia="zh-CN"/>
        </w:rPr>
        <w:t>上年在</w:t>
      </w:r>
      <w:r>
        <w:rPr>
          <w:rFonts w:ascii="仿宋_GB2312" w:hAnsi="仿宋_GB2312" w:eastAsia="仿宋_GB2312"/>
          <w:b w:val="0"/>
          <w:sz w:val="32"/>
        </w:rPr>
        <w:t>其他人大事务支出科目</w:t>
      </w:r>
      <w:r>
        <w:rPr>
          <w:rFonts w:hint="eastAsia" w:ascii="仿宋_GB2312" w:hAnsi="仿宋_GB2312" w:eastAsia="仿宋_GB2312"/>
          <w:b w:val="0"/>
          <w:sz w:val="32"/>
          <w:lang w:val="en-US" w:eastAsia="zh-CN"/>
        </w:rPr>
        <w:t>列支，本年</w:t>
      </w:r>
      <w:r>
        <w:rPr>
          <w:rFonts w:ascii="仿宋_GB2312" w:hAnsi="仿宋_GB2312" w:eastAsia="仿宋_GB2312"/>
          <w:b w:val="0"/>
          <w:sz w:val="32"/>
        </w:rPr>
        <w:t>调整至代表工作科目</w:t>
      </w:r>
      <w:r>
        <w:rPr>
          <w:rFonts w:hint="eastAsia" w:ascii="仿宋_GB2312" w:hAnsi="仿宋_GB2312" w:eastAsia="仿宋_GB2312"/>
          <w:b w:val="0"/>
          <w:sz w:val="32"/>
          <w:lang w:val="en-US" w:eastAsia="zh-CN"/>
        </w:rPr>
        <w:t>列支</w:t>
      </w:r>
      <w:r>
        <w:rPr>
          <w:rFonts w:ascii="仿宋_GB2312" w:hAnsi="仿宋_GB2312" w:eastAsia="仿宋_GB2312"/>
          <w:b w:val="0"/>
          <w:sz w:val="32"/>
        </w:rPr>
        <w:t>，相关支出减少。</w:t>
      </w:r>
    </w:p>
    <w:p w14:paraId="2D1DC9F7">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1,035.63万元，比上年决算增加15.52万元，增长1.52%,主要原因是：本年在职人员工资调增，导致相关人员经费较上年有所增加。</w:t>
      </w:r>
    </w:p>
    <w:p w14:paraId="13417F86">
      <w:pPr>
        <w:spacing w:line="580" w:lineRule="exact"/>
        <w:ind w:firstLine="640"/>
        <w:jc w:val="both"/>
      </w:pPr>
      <w:r>
        <w:rPr>
          <w:rFonts w:ascii="仿宋_GB2312" w:hAnsi="仿宋_GB2312" w:eastAsia="仿宋_GB2312"/>
          <w:b w:val="0"/>
          <w:sz w:val="32"/>
        </w:rPr>
        <w:t>4.一般公共服务支出(类)政府办公厅（室）及相关机构事务(款)一般行政管理事务(项):支出决算数为21.06万元，比上年决算减少8.94万元，下降29.80%,主要原因是：本年减少乡镇工作业务经费。</w:t>
      </w:r>
    </w:p>
    <w:p w14:paraId="426991E8">
      <w:pPr>
        <w:spacing w:line="580" w:lineRule="exact"/>
        <w:ind w:firstLine="640"/>
        <w:jc w:val="both"/>
      </w:pPr>
      <w:r>
        <w:rPr>
          <w:rFonts w:ascii="仿宋_GB2312" w:hAnsi="仿宋_GB2312" w:eastAsia="仿宋_GB2312"/>
          <w:b w:val="0"/>
          <w:sz w:val="32"/>
        </w:rPr>
        <w:t>5.一般公共服务支出(类)纪检监察事务(款)行政运行(项):支出决算数为0.00万元，比上年决算减少3.36万元，下降100.00%,主要原因是：本年功能科目调整，部分职工基本医疗保险缴费上年度在本科目列支，本年调整至行政单位医疗科目单独列支，导致经费较上年减少。</w:t>
      </w:r>
    </w:p>
    <w:p w14:paraId="233C0046">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6.一般公共服务支出(类)纪检监察事务(款)其他纪检监察事务支出(项):支出决算数为2.00万元，比上年决算增加0.50万元，增长33.33%,主要原因是：本年增加乡镇纪委（监察办）工作经费，相关支出增加。</w:t>
      </w:r>
    </w:p>
    <w:p w14:paraId="3781D012">
      <w:pPr>
        <w:spacing w:line="580" w:lineRule="exact"/>
        <w:ind w:firstLine="640"/>
        <w:jc w:val="both"/>
      </w:pPr>
      <w:r>
        <w:rPr>
          <w:rFonts w:ascii="仿宋_GB2312" w:hAnsi="仿宋_GB2312" w:eastAsia="仿宋_GB2312"/>
          <w:b w:val="0"/>
          <w:sz w:val="32"/>
        </w:rPr>
        <w:t>7.一般公共服务支出(类)组织事务(款)其他组织事务支出(项):支出决算数为56.61万元，比上年决算增加11.66万元，增长25.94%,主要原因是：本年增加村级运转经费，科目调整，工作队为民办实事经费</w:t>
      </w:r>
      <w:r>
        <w:rPr>
          <w:rFonts w:hint="eastAsia" w:ascii="仿宋_GB2312" w:hAnsi="仿宋_GB2312" w:eastAsia="仿宋_GB2312"/>
          <w:b w:val="0"/>
          <w:sz w:val="32"/>
          <w:lang w:val="en-US" w:eastAsia="zh-CN"/>
        </w:rPr>
        <w:t>上年</w:t>
      </w:r>
      <w:r>
        <w:rPr>
          <w:rFonts w:ascii="仿宋_GB2312" w:hAnsi="仿宋_GB2312" w:eastAsia="仿宋_GB2312"/>
          <w:b w:val="0"/>
          <w:sz w:val="32"/>
        </w:rPr>
        <w:t>其他支出科目</w:t>
      </w:r>
      <w:r>
        <w:rPr>
          <w:rFonts w:hint="eastAsia" w:ascii="仿宋_GB2312" w:hAnsi="仿宋_GB2312" w:eastAsia="仿宋_GB2312"/>
          <w:b w:val="0"/>
          <w:sz w:val="32"/>
          <w:lang w:val="en-US" w:eastAsia="zh-CN"/>
        </w:rPr>
        <w:t>列支，本年</w:t>
      </w:r>
      <w:r>
        <w:rPr>
          <w:rFonts w:ascii="仿宋_GB2312" w:hAnsi="仿宋_GB2312" w:eastAsia="仿宋_GB2312"/>
          <w:b w:val="0"/>
          <w:sz w:val="32"/>
        </w:rPr>
        <w:t>调整至其他组织事务支出科目列支，导致经费较上年增加。</w:t>
      </w:r>
    </w:p>
    <w:p w14:paraId="60BCCB93">
      <w:pPr>
        <w:spacing w:line="580" w:lineRule="exact"/>
        <w:ind w:firstLine="640"/>
        <w:jc w:val="both"/>
      </w:pPr>
      <w:r>
        <w:rPr>
          <w:rFonts w:ascii="仿宋_GB2312" w:hAnsi="仿宋_GB2312" w:eastAsia="仿宋_GB2312"/>
          <w:b w:val="0"/>
          <w:sz w:val="32"/>
        </w:rPr>
        <w:t>8.一般公共服务支出(类)统战事务(款)宗教事务(项):支出决算数为1.37万元，比上年决算增加1.37万元，增长100.00%,主要原因是：本年增加ZCGS委员会工作经费，相关支出增加。</w:t>
      </w:r>
    </w:p>
    <w:p w14:paraId="52214A73">
      <w:pPr>
        <w:spacing w:line="580" w:lineRule="exact"/>
        <w:ind w:firstLine="640"/>
        <w:jc w:val="both"/>
      </w:pPr>
      <w:r>
        <w:rPr>
          <w:rFonts w:ascii="仿宋_GB2312" w:hAnsi="仿宋_GB2312" w:eastAsia="仿宋_GB2312"/>
          <w:b w:val="0"/>
          <w:sz w:val="32"/>
        </w:rPr>
        <w:t>9.一般公共服务支出(类)统战事务(款)其他统战事务支出(项):支出决算数为0.93万元，比上年决算增加0.93万元，增长100.00%,主要原因是：本年增加ZCGS委员会工作经费，相关支出增加。</w:t>
      </w:r>
    </w:p>
    <w:p w14:paraId="361D159A">
      <w:pPr>
        <w:spacing w:line="580" w:lineRule="exact"/>
        <w:ind w:firstLine="640"/>
        <w:jc w:val="both"/>
      </w:pPr>
      <w:r>
        <w:rPr>
          <w:rFonts w:ascii="仿宋_GB2312" w:hAnsi="仿宋_GB2312" w:eastAsia="仿宋_GB2312"/>
          <w:b w:val="0"/>
          <w:sz w:val="32"/>
        </w:rPr>
        <w:t>10.文化旅游体育与传媒支出(类)文化和旅游(款)其他文化和旅游支出(项):支出决算数为14.30万元，比上年决算增加14.30万元，增长100.00%,主要原因是：本年增加中央和自治区图书馆、美术馆、文化馆（站）免费开放补助资金项目支出。</w:t>
      </w:r>
    </w:p>
    <w:p w14:paraId="678BB911">
      <w:pPr>
        <w:spacing w:line="580" w:lineRule="exact"/>
        <w:ind w:firstLine="640"/>
        <w:jc w:val="both"/>
      </w:pPr>
      <w:r>
        <w:rPr>
          <w:rFonts w:ascii="仿宋_GB2312" w:hAnsi="仿宋_GB2312" w:eastAsia="仿宋_GB2312"/>
          <w:b w:val="0"/>
          <w:sz w:val="32"/>
        </w:rPr>
        <w:t>11.社会保障和就业支出(类)行政事业单位养老支出(款)行政单位离退休(项):支出决算数为17.57万元，比上年决算增加3.16万元，增长21.93%,主要原因是：本年补发退休人员绩效，导致退休费较上年增加。</w:t>
      </w:r>
    </w:p>
    <w:p w14:paraId="66C9735F">
      <w:pPr>
        <w:spacing w:line="580" w:lineRule="exact"/>
        <w:ind w:firstLine="640"/>
        <w:jc w:val="both"/>
      </w:pPr>
      <w:r>
        <w:rPr>
          <w:rFonts w:ascii="仿宋_GB2312" w:hAnsi="仿宋_GB2312" w:eastAsia="仿宋_GB2312"/>
          <w:b w:val="0"/>
          <w:sz w:val="32"/>
        </w:rPr>
        <w:t>12.社会保障和就业支出(类)行政事业单位养老支出(款)机关事业单位基本养老保险缴费支出(项):支出决算数为117.46万元，比上年决算增加13.68万元，增长13.18%,主要原因是：本年在职人员工资基数调增，养老缴费基数上涨，相应支出增加。</w:t>
      </w:r>
    </w:p>
    <w:p w14:paraId="69EFE924">
      <w:pPr>
        <w:spacing w:line="580" w:lineRule="exact"/>
        <w:ind w:firstLine="640"/>
        <w:jc w:val="both"/>
      </w:pPr>
      <w:r>
        <w:rPr>
          <w:rFonts w:ascii="仿宋_GB2312" w:hAnsi="仿宋_GB2312" w:eastAsia="仿宋_GB2312"/>
          <w:b w:val="0"/>
          <w:sz w:val="32"/>
        </w:rPr>
        <w:t>13.社会保障和就业支出(类)行政事业单位养老支出(款)机关事业单位职业年金缴费支出(项):支出决算数为4.46万元，比上年决算减少3.13万元，下降41.24%,主要原因是：本年新增退休人员较上年减少，职业年金缴费较上年减少。</w:t>
      </w:r>
    </w:p>
    <w:p w14:paraId="2B8181FD">
      <w:pPr>
        <w:spacing w:line="580" w:lineRule="exact"/>
        <w:ind w:firstLine="640"/>
        <w:jc w:val="both"/>
      </w:pPr>
      <w:r>
        <w:rPr>
          <w:rFonts w:ascii="仿宋_GB2312" w:hAnsi="仿宋_GB2312" w:eastAsia="仿宋_GB2312"/>
          <w:b w:val="0"/>
          <w:sz w:val="32"/>
        </w:rPr>
        <w:t>14.社会保障和就业支出(类)临时救助(款)临时救助支出(项):支出决算数为0.00万元，比上年决算减少64.29万元，下降100.00%,主要原因是：上年临时救助资金由本单位发放，本年由民政局进行发放，导致临时救助资金支出减少。</w:t>
      </w:r>
    </w:p>
    <w:p w14:paraId="0DEA1EB1">
      <w:pPr>
        <w:spacing w:line="580" w:lineRule="exact"/>
        <w:ind w:firstLine="640"/>
        <w:jc w:val="both"/>
      </w:pPr>
      <w:r>
        <w:rPr>
          <w:rFonts w:ascii="仿宋_GB2312" w:hAnsi="仿宋_GB2312" w:eastAsia="仿宋_GB2312"/>
          <w:b w:val="0"/>
          <w:sz w:val="32"/>
        </w:rPr>
        <w:t>15.卫生健康支出(类)行政事业单位医疗(款)行政单位医疗(项):支出决算数为50.76万元，比上年决算增加3.72万元，增长7.91%,主要原因是：本年在职人员工资基数调增，医疗缴费基数上涨，相应支出增加。</w:t>
      </w:r>
    </w:p>
    <w:p w14:paraId="45E055D0">
      <w:pPr>
        <w:spacing w:line="580" w:lineRule="exact"/>
        <w:ind w:firstLine="640"/>
        <w:jc w:val="both"/>
      </w:pPr>
      <w:r>
        <w:rPr>
          <w:rFonts w:ascii="仿宋_GB2312" w:hAnsi="仿宋_GB2312" w:eastAsia="仿宋_GB2312"/>
          <w:b w:val="0"/>
          <w:sz w:val="32"/>
        </w:rPr>
        <w:t>16.卫生健康支出(类)行政事业单位医疗(款)公务员医疗补助(项):支出决算数为9.95万元，比上年决算减少0.68万元，下降6.40%,主要原因是：本年在职人员减少，公务员医疗补助较上年减少。</w:t>
      </w:r>
    </w:p>
    <w:p w14:paraId="54126A0E">
      <w:pPr>
        <w:spacing w:line="580" w:lineRule="exact"/>
        <w:ind w:firstLine="640"/>
        <w:jc w:val="both"/>
      </w:pPr>
      <w:r>
        <w:rPr>
          <w:rFonts w:ascii="仿宋_GB2312" w:hAnsi="仿宋_GB2312" w:eastAsia="仿宋_GB2312"/>
          <w:b w:val="0"/>
          <w:sz w:val="32"/>
        </w:rPr>
        <w:t>17.农林水支出(类)巩固脱贫攻坚成果衔接乡村振兴(款)农村基础设施建设(项):支出决算数为0.00万元，比上年决算减少697.04万元，下降100.00%,主要原因是：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年减少岳普湖县乡村振兴示范村建设项目。</w:t>
      </w:r>
    </w:p>
    <w:p w14:paraId="421928D9">
      <w:pPr>
        <w:spacing w:line="580" w:lineRule="exact"/>
        <w:ind w:firstLine="640"/>
        <w:jc w:val="both"/>
      </w:pPr>
      <w:r>
        <w:rPr>
          <w:rFonts w:ascii="仿宋_GB2312" w:hAnsi="仿宋_GB2312" w:eastAsia="仿宋_GB2312"/>
          <w:b w:val="0"/>
          <w:sz w:val="32"/>
        </w:rPr>
        <w:t>18.住房保障支出(类)住房改革支出(款)住房公积金(项):支出决算数为95.10万元，比上年决算增加11.99万元，增长14.43%,主要原因是：本年在职人员工资基数调增，公积金缴费基数上涨，相应支出增加。</w:t>
      </w:r>
    </w:p>
    <w:p w14:paraId="28296EB5">
      <w:pPr>
        <w:spacing w:line="580" w:lineRule="exact"/>
        <w:ind w:firstLine="640"/>
        <w:jc w:val="both"/>
      </w:pPr>
      <w:r>
        <w:rPr>
          <w:rFonts w:ascii="仿宋_GB2312" w:hAnsi="仿宋_GB2312" w:eastAsia="仿宋_GB2312"/>
          <w:b w:val="0"/>
          <w:sz w:val="32"/>
        </w:rPr>
        <w:t>19.其他支出(类)其他支出(款)其他支出(项):支出决算数为0.00万元，比上年决算减少7.05万元，下降100.00%,主要原因是：本年科目调整，工作队为民办实事经费</w:t>
      </w:r>
      <w:r>
        <w:rPr>
          <w:rFonts w:hint="eastAsia" w:ascii="仿宋_GB2312" w:hAnsi="仿宋_GB2312" w:eastAsia="仿宋_GB2312"/>
          <w:b w:val="0"/>
          <w:sz w:val="32"/>
          <w:lang w:val="en-US" w:eastAsia="zh-CN"/>
        </w:rPr>
        <w:t>上年</w:t>
      </w:r>
      <w:r>
        <w:rPr>
          <w:rFonts w:ascii="仿宋_GB2312" w:hAnsi="仿宋_GB2312" w:eastAsia="仿宋_GB2312"/>
          <w:b w:val="0"/>
          <w:sz w:val="32"/>
        </w:rPr>
        <w:t>其他支出科目</w:t>
      </w:r>
      <w:r>
        <w:rPr>
          <w:rFonts w:hint="eastAsia" w:ascii="仿宋_GB2312" w:hAnsi="仿宋_GB2312" w:eastAsia="仿宋_GB2312"/>
          <w:b w:val="0"/>
          <w:sz w:val="32"/>
          <w:lang w:val="en-US" w:eastAsia="zh-CN"/>
        </w:rPr>
        <w:t>列支，本年</w:t>
      </w:r>
      <w:r>
        <w:rPr>
          <w:rFonts w:ascii="仿宋_GB2312" w:hAnsi="仿宋_GB2312" w:eastAsia="仿宋_GB2312"/>
          <w:b w:val="0"/>
          <w:sz w:val="32"/>
        </w:rPr>
        <w:t>调整至其他组织事务支出科目列支，导致经费较上年减少。</w:t>
      </w:r>
    </w:p>
    <w:p w14:paraId="14AF73F2">
      <w:pPr>
        <w:spacing w:line="640" w:lineRule="exact"/>
        <w:ind w:firstLine="640"/>
        <w:jc w:val="both"/>
        <w:outlineLvl w:val="2"/>
      </w:pPr>
      <w:r>
        <w:rPr>
          <w:rFonts w:ascii="黑体" w:hAnsi="黑体" w:eastAsia="黑体"/>
          <w:sz w:val="32"/>
        </w:rPr>
        <w:t>六、一般公共预算财政拨款基本支出决算情况说明</w:t>
      </w:r>
    </w:p>
    <w:p w14:paraId="20BFD19C">
      <w:pPr>
        <w:spacing w:line="580" w:lineRule="exact"/>
        <w:ind w:firstLine="640"/>
        <w:jc w:val="both"/>
      </w:pPr>
      <w:r>
        <w:rPr>
          <w:rFonts w:ascii="仿宋_GB2312" w:hAnsi="仿宋_GB2312" w:eastAsia="仿宋_GB2312"/>
          <w:b w:val="0"/>
          <w:sz w:val="32"/>
        </w:rPr>
        <w:t>2024年度一般公共预算财政拨款基本支出1,330.92万元，其中：</w:t>
      </w:r>
      <w:r>
        <w:rPr>
          <w:rFonts w:ascii="仿宋_GB2312" w:hAnsi="仿宋_GB2312" w:eastAsia="仿宋_GB2312"/>
          <w:b/>
          <w:sz w:val="32"/>
        </w:rPr>
        <w:t>人员经费1,268.14万元，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5016F3C5">
      <w:pPr>
        <w:spacing w:line="580" w:lineRule="exact"/>
        <w:ind w:firstLine="640"/>
        <w:jc w:val="both"/>
      </w:pPr>
      <w:r>
        <w:rPr>
          <w:rFonts w:ascii="仿宋_GB2312" w:hAnsi="仿宋_GB2312" w:eastAsia="仿宋_GB2312"/>
          <w:b/>
          <w:sz w:val="32"/>
        </w:rPr>
        <w:t>公用经费62.78万元，</w:t>
      </w:r>
      <w:r>
        <w:rPr>
          <w:rFonts w:ascii="仿宋_GB2312" w:hAnsi="仿宋_GB2312" w:eastAsia="仿宋_GB2312"/>
          <w:b w:val="0"/>
          <w:sz w:val="32"/>
        </w:rPr>
        <w:t>包括：办公费、印刷费、水费、电费、邮电费、物业管理费、差旅费、专用材料费、劳务费、委托业务费、公务用车运行维护费、其他商品和服务支出、专用设备购置、公务用车购置。</w:t>
      </w:r>
    </w:p>
    <w:p w14:paraId="5DE89623">
      <w:pPr>
        <w:spacing w:line="640" w:lineRule="exact"/>
        <w:ind w:firstLine="640"/>
        <w:jc w:val="both"/>
        <w:outlineLvl w:val="2"/>
      </w:pPr>
      <w:r>
        <w:rPr>
          <w:rFonts w:ascii="黑体" w:hAnsi="黑体" w:eastAsia="黑体"/>
          <w:sz w:val="32"/>
        </w:rPr>
        <w:t>七、政府性基金预算财政拨款收入支出决算情况说明</w:t>
      </w:r>
    </w:p>
    <w:p w14:paraId="78C3828F">
      <w:pPr>
        <w:spacing w:line="580" w:lineRule="exact"/>
        <w:ind w:firstLine="640"/>
        <w:jc w:val="both"/>
      </w:pPr>
      <w:r>
        <w:rPr>
          <w:rFonts w:ascii="仿宋_GB2312" w:hAnsi="仿宋_GB2312" w:eastAsia="仿宋_GB2312"/>
          <w:b/>
          <w:sz w:val="32"/>
        </w:rPr>
        <w:t>2024年度政府性基金预算财政拨款收入总计1.00万元，</w:t>
      </w:r>
      <w:r>
        <w:rPr>
          <w:rFonts w:ascii="仿宋_GB2312" w:hAnsi="仿宋_GB2312" w:eastAsia="仿宋_GB2312"/>
          <w:b w:val="0"/>
          <w:sz w:val="32"/>
        </w:rPr>
        <w:t>其中：年初结转和结余0.00万元，本年收入1.00万元。</w:t>
      </w:r>
      <w:r>
        <w:rPr>
          <w:rFonts w:ascii="仿宋_GB2312" w:hAnsi="仿宋_GB2312" w:eastAsia="仿宋_GB2312"/>
          <w:b/>
          <w:sz w:val="32"/>
        </w:rPr>
        <w:t>政府性基金预算财政拨款支出总计1.00万元，</w:t>
      </w:r>
      <w:r>
        <w:rPr>
          <w:rFonts w:ascii="仿宋_GB2312" w:hAnsi="仿宋_GB2312" w:eastAsia="仿宋_GB2312"/>
          <w:b w:val="0"/>
          <w:sz w:val="32"/>
        </w:rPr>
        <w:t>其中：年末结转和结余0.00万元，本年支出1.00万元。</w:t>
      </w:r>
    </w:p>
    <w:p w14:paraId="3A70656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增加1.00万元，增长100.00%，主要原因是：本年彩票公益金支持体育项目事业发展项目资金较上年增加。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年初预算数1.00万元，决算数1.00万元，预决算差异率0.00%，主要原因是：严格按照预算执行，预决算无差异。</w:t>
      </w:r>
    </w:p>
    <w:p w14:paraId="5553C73E">
      <w:pPr>
        <w:spacing w:line="580" w:lineRule="exact"/>
        <w:ind w:firstLine="640"/>
        <w:jc w:val="both"/>
      </w:pPr>
      <w:r>
        <w:rPr>
          <w:rFonts w:ascii="仿宋_GB2312" w:hAnsi="仿宋_GB2312" w:eastAsia="仿宋_GB2312"/>
          <w:b w:val="0"/>
          <w:sz w:val="32"/>
        </w:rPr>
        <w:t>政府性基金预算财政拨款支出1.00万元。</w:t>
      </w:r>
    </w:p>
    <w:p w14:paraId="3F897443">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1.00万元，比上年决算增加1.00万元，增长100.00%,主要原因是：本年彩票公益金支持体育项目事业发展项目资金较上年增加。</w:t>
      </w:r>
    </w:p>
    <w:p w14:paraId="162504D1">
      <w:pPr>
        <w:spacing w:line="640" w:lineRule="exact"/>
        <w:ind w:firstLine="640"/>
        <w:jc w:val="both"/>
        <w:outlineLvl w:val="2"/>
      </w:pPr>
      <w:r>
        <w:rPr>
          <w:rFonts w:ascii="黑体" w:hAnsi="黑体" w:eastAsia="黑体"/>
          <w:sz w:val="32"/>
        </w:rPr>
        <w:t>八、国有资本经营预算财政拨款收入支出决算情况说明</w:t>
      </w:r>
    </w:p>
    <w:p w14:paraId="490263B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0C22696">
      <w:pPr>
        <w:spacing w:line="640" w:lineRule="exact"/>
        <w:ind w:firstLine="640"/>
        <w:jc w:val="both"/>
        <w:outlineLvl w:val="2"/>
      </w:pPr>
      <w:r>
        <w:rPr>
          <w:rFonts w:ascii="黑体" w:hAnsi="黑体" w:eastAsia="黑体"/>
          <w:sz w:val="32"/>
        </w:rPr>
        <w:t>九、财政拨款“三公”经费支出决算情况说明</w:t>
      </w:r>
    </w:p>
    <w:p w14:paraId="68F72D18">
      <w:pPr>
        <w:spacing w:line="580" w:lineRule="exact"/>
        <w:ind w:firstLine="640"/>
        <w:jc w:val="both"/>
      </w:pPr>
      <w:r>
        <w:rPr>
          <w:rFonts w:ascii="仿宋_GB2312" w:hAnsi="仿宋_GB2312" w:eastAsia="仿宋_GB2312"/>
          <w:b/>
          <w:sz w:val="32"/>
        </w:rPr>
        <w:t>2024年度财政拨款“三公”经费支出19.15万元，</w:t>
      </w:r>
      <w:r>
        <w:rPr>
          <w:rFonts w:ascii="仿宋_GB2312" w:hAnsi="仿宋_GB2312" w:eastAsia="仿宋_GB2312"/>
          <w:b w:val="0"/>
          <w:sz w:val="32"/>
        </w:rPr>
        <w:t>比上年增加11.15万元，增长139.38%，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19.15万元，占100.00%，比上年增加11.15万元，增长139.38%，主要原因是：本单位公务用车日渐老化，维修维护成本增加，导致公务用车运行维护费较上年增加。公务接待费支出0.00万元，占0.00%，比上年增加0.00万元，增长0.00%，主要原因是：2023年与2024年均未安排公务接待费支出。</w:t>
      </w:r>
    </w:p>
    <w:p w14:paraId="70169EAD">
      <w:pPr>
        <w:spacing w:line="580" w:lineRule="exact"/>
        <w:ind w:firstLine="640"/>
        <w:jc w:val="both"/>
      </w:pPr>
      <w:r>
        <w:rPr>
          <w:rFonts w:ascii="仿宋_GB2312" w:hAnsi="仿宋_GB2312" w:eastAsia="仿宋_GB2312"/>
          <w:b/>
          <w:sz w:val="32"/>
        </w:rPr>
        <w:t>具体情况如下：</w:t>
      </w:r>
    </w:p>
    <w:p w14:paraId="12A46BA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2742E4F">
      <w:pPr>
        <w:spacing w:line="580" w:lineRule="exact"/>
        <w:ind w:firstLine="640"/>
        <w:jc w:val="both"/>
      </w:pPr>
      <w:r>
        <w:rPr>
          <w:rFonts w:ascii="仿宋_GB2312" w:hAnsi="仿宋_GB2312" w:eastAsia="仿宋_GB2312"/>
          <w:b w:val="0"/>
          <w:sz w:val="32"/>
        </w:rPr>
        <w:t>公务用车购置及运行维护费19.15万元，其中：公务用车购置费12.58万元，公务用车运行维护费6.57万元。公务用车运行维护费开支内容包括车辆加油费、维修费、保险费、审车费、过路费等。公务用车购置数1辆，公务用车保有量4辆。国有资产占用情况中固定资产车辆8辆，与公务用车保有量差异原因是：差异车辆为一般业务用车，预算未安排公务用车运行维护费。</w:t>
      </w:r>
    </w:p>
    <w:p w14:paraId="5EBD6AD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827C3B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19.15万元，决算数19.15万元，预决算差异率0.00%，主要原因是：严格按照预算执行，预决算无差异。其中：因公出国（境）费全年预算数0.00万元，决算数0.00万元，预决算差异率0.00%，主要原因是：本单位无因公出国（境）费。公务用车购置费全年预算数12.58万元，决算数12.58万元，预决算差异率0.00%，主要原因是：严格按照预算执行，预决算无差异。公务用车运行维护费全年预算数6.57万元，决算数6.57万元，预决算差异率0.00%，主要原因是：严格按照预算执行，预决算无差异。公务接待费全年预算数0.00万元，决算数0.00万元，预决算差异率0.00%，主要原因是：本单位无公务接待费。</w:t>
      </w:r>
    </w:p>
    <w:p w14:paraId="1AF846E7">
      <w:pPr>
        <w:spacing w:line="640" w:lineRule="exact"/>
        <w:ind w:firstLine="640"/>
        <w:jc w:val="both"/>
        <w:outlineLvl w:val="2"/>
      </w:pPr>
      <w:r>
        <w:rPr>
          <w:rFonts w:ascii="黑体" w:hAnsi="黑体" w:eastAsia="黑体"/>
          <w:sz w:val="32"/>
        </w:rPr>
        <w:t>十、其他重要事项的情况说明</w:t>
      </w:r>
    </w:p>
    <w:p w14:paraId="0AFC2C1B">
      <w:pPr>
        <w:spacing w:line="640" w:lineRule="exact"/>
        <w:ind w:firstLine="640"/>
        <w:jc w:val="both"/>
        <w:outlineLvl w:val="3"/>
      </w:pPr>
      <w:r>
        <w:rPr>
          <w:rFonts w:ascii="楷体_GB2312" w:hAnsi="楷体_GB2312" w:eastAsia="楷体_GB2312"/>
          <w:b/>
          <w:sz w:val="32"/>
        </w:rPr>
        <w:t>（一）机关运行经费及公用经费支出情况</w:t>
      </w:r>
    </w:p>
    <w:p w14:paraId="0BD82271">
      <w:pPr>
        <w:spacing w:line="580" w:lineRule="exact"/>
        <w:ind w:firstLine="640"/>
        <w:jc w:val="both"/>
      </w:pPr>
      <w:r>
        <w:rPr>
          <w:rFonts w:ascii="仿宋_GB2312" w:hAnsi="仿宋_GB2312" w:eastAsia="仿宋_GB2312"/>
          <w:b w:val="0"/>
          <w:sz w:val="32"/>
        </w:rPr>
        <w:t>2024年度岳普湖县阿洪鲁库木乡人民政府（行政单位和参照公务员法管理事业单位）机关运行经费支出62.78万元，比上年增加33.78万元，增长116.48%，主要原因是：本年增加办公费、印刷费、委托业务费等经费，导致机关运行经费较上年增加。</w:t>
      </w:r>
    </w:p>
    <w:p w14:paraId="5F454E15">
      <w:pPr>
        <w:spacing w:line="640" w:lineRule="exact"/>
        <w:ind w:firstLine="640"/>
        <w:jc w:val="both"/>
        <w:outlineLvl w:val="3"/>
      </w:pPr>
      <w:r>
        <w:rPr>
          <w:rFonts w:ascii="楷体_GB2312" w:hAnsi="楷体_GB2312" w:eastAsia="楷体_GB2312"/>
          <w:b/>
          <w:sz w:val="32"/>
        </w:rPr>
        <w:t>（二）政府采购情况</w:t>
      </w:r>
    </w:p>
    <w:p w14:paraId="03F58084">
      <w:pPr>
        <w:spacing w:line="580" w:lineRule="exact"/>
        <w:ind w:firstLine="640"/>
        <w:jc w:val="both"/>
      </w:pPr>
      <w:r>
        <w:rPr>
          <w:rFonts w:ascii="仿宋_GB2312" w:hAnsi="仿宋_GB2312" w:eastAsia="仿宋_GB2312"/>
          <w:b w:val="0"/>
          <w:sz w:val="32"/>
        </w:rPr>
        <w:t>2024年度政府采购支出总额18.58万元，其中：政府采购货物支出15.06万元、政府采购工程支出0.00万元、政府采购服务支出3.52万元。</w:t>
      </w:r>
    </w:p>
    <w:p w14:paraId="0D889528">
      <w:pPr>
        <w:spacing w:line="580" w:lineRule="exact"/>
        <w:ind w:firstLine="640"/>
        <w:jc w:val="both"/>
      </w:pPr>
      <w:r>
        <w:rPr>
          <w:rFonts w:ascii="仿宋_GB2312" w:hAnsi="仿宋_GB2312" w:eastAsia="仿宋_GB2312"/>
          <w:b w:val="0"/>
          <w:sz w:val="32"/>
        </w:rPr>
        <w:t>授予中小企业合同金额18.27万元，占政府采购支出总额的98.33%，其中：授予小微企业合同金额17.04万元，占政府采购支出总额的91.71%。</w:t>
      </w:r>
    </w:p>
    <w:p w14:paraId="0A1E6ECA">
      <w:pPr>
        <w:spacing w:line="640" w:lineRule="exact"/>
        <w:ind w:firstLine="640"/>
        <w:jc w:val="both"/>
        <w:outlineLvl w:val="3"/>
      </w:pPr>
      <w:r>
        <w:rPr>
          <w:rFonts w:ascii="楷体_GB2312" w:hAnsi="楷体_GB2312" w:eastAsia="楷体_GB2312"/>
          <w:b/>
          <w:sz w:val="32"/>
        </w:rPr>
        <w:t>（三）国有资产占用情况说明</w:t>
      </w:r>
    </w:p>
    <w:p w14:paraId="6D3A7E4D">
      <w:pPr>
        <w:spacing w:line="580" w:lineRule="exact"/>
        <w:ind w:firstLine="640"/>
        <w:jc w:val="both"/>
      </w:pPr>
      <w:r>
        <w:rPr>
          <w:rFonts w:ascii="仿宋_GB2312" w:hAnsi="仿宋_GB2312" w:eastAsia="仿宋_GB2312"/>
          <w:b w:val="0"/>
          <w:sz w:val="32"/>
        </w:rPr>
        <w:t>截至2024年12月31日，房屋9,196.76平方米，价值779.67万元。车辆8辆，价值50.27万元，其中：副部（省）级及以上领导用车0辆、主要负责人用车0辆、机要通信用车0辆、应急保障用车0辆、执法执勤用车3辆、特种专业技术用车0辆、离退休干部服务用车0辆、其他用车5辆，其他用车主要是：5辆巡逻车。单价100万元（含）以上设备（不含车辆）0台（套）。</w:t>
      </w:r>
    </w:p>
    <w:p w14:paraId="74B4E0B8">
      <w:pPr>
        <w:spacing w:line="640" w:lineRule="exact"/>
        <w:ind w:firstLine="640"/>
        <w:jc w:val="both"/>
        <w:outlineLvl w:val="2"/>
      </w:pPr>
      <w:r>
        <w:rPr>
          <w:rFonts w:ascii="黑体" w:hAnsi="黑体" w:eastAsia="黑体"/>
          <w:sz w:val="32"/>
        </w:rPr>
        <w:t>十一、预算绩效的情况说明</w:t>
      </w:r>
    </w:p>
    <w:p w14:paraId="6F2CE726">
      <w:pPr>
        <w:spacing w:line="580" w:lineRule="exact"/>
        <w:ind w:firstLine="640"/>
        <w:jc w:val="both"/>
      </w:pPr>
      <w:r>
        <w:rPr>
          <w:rFonts w:ascii="仿宋_GB2312" w:hAnsi="仿宋_GB2312" w:eastAsia="仿宋_GB2312"/>
          <w:b w:val="0"/>
          <w:sz w:val="32"/>
        </w:rPr>
        <w:t>根据预算绩效管理要求，本单位2024年度预算绩效管理形成整体支出绩</w:t>
      </w:r>
      <w:bookmarkStart w:id="0" w:name="_GoBack"/>
      <w:r>
        <w:rPr>
          <w:rFonts w:ascii="仿宋_GB2312" w:hAnsi="仿宋_GB2312" w:eastAsia="仿宋_GB2312"/>
          <w:b w:val="0"/>
          <w:sz w:val="32"/>
        </w:rPr>
        <w:t>效自评表1个，全年预算总额1,479.24万元，实际执行总额1,479.24万元；预算绩效评价项目2个，全年预算数81.79万元，全年执行数81.79万</w:t>
      </w:r>
      <w:bookmarkEnd w:id="0"/>
      <w:r>
        <w:rPr>
          <w:rFonts w:ascii="仿宋_GB2312" w:hAnsi="仿宋_GB2312" w:eastAsia="仿宋_GB2312"/>
          <w:b w:val="0"/>
          <w:sz w:val="32"/>
        </w:rPr>
        <w:t>元。预算绩效管理取得的成效：一是严格按照相关的专项资金管理办法，实行多重审批控制专项经费的支出；二是项目根据实际情况做出合理预算，支出严格控制在预算范围内，本着节约成本，防止资源浪费的原则将项目成效最大化。发现的问题及原因：一是部分业务人员绩效管理意识有待增强，未能全面深入认识理解绩效管理工作的意义；二是绩效管理经验不足，预算绩效管理工作有待进一步落实；三是绩效指标的明确性、可衡量性、相关性还需进一步提升。四是预算精细化管理还需完善，预算编制管理水平仍有进一步提升的空间。下一步改进措施：一是加大绩效工作宣传力度，强化绩效理念；二是完善绩效指标，提高整体绩效目标质量；三是提升预算精细化管理水平；四是继续完善预算绩效管理相关工作制度，建立全过程预算绩效管理链条，有效贯彻落实全面实施绩效管理的精神。具体附整体支出绩效自评表，项目支出绩效自评表和评价报告。</w:t>
      </w:r>
    </w:p>
    <w:p w14:paraId="41E41DA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FB6E491">
        <w:tc>
          <w:tcPr>
            <w:tcW w:w="8847" w:type="dxa"/>
            <w:gridSpan w:val="9"/>
            <w:vAlign w:val="center"/>
          </w:tcPr>
          <w:p w14:paraId="66677DE2">
            <w:pPr>
              <w:jc w:val="center"/>
            </w:pPr>
            <w:r>
              <w:rPr>
                <w:rFonts w:ascii="宋体" w:hAnsi="宋体" w:eastAsia="宋体"/>
                <w:sz w:val="24"/>
              </w:rPr>
              <w:t>单位整体支出绩效自评表</w:t>
            </w:r>
          </w:p>
        </w:tc>
      </w:tr>
      <w:tr w14:paraId="7471DC82">
        <w:tblPrEx>
          <w:tblCellMar>
            <w:top w:w="0" w:type="dxa"/>
            <w:left w:w="108" w:type="dxa"/>
            <w:bottom w:w="0" w:type="dxa"/>
            <w:right w:w="108" w:type="dxa"/>
          </w:tblCellMar>
        </w:tblPrEx>
        <w:tc>
          <w:tcPr>
            <w:tcW w:w="8847" w:type="dxa"/>
            <w:gridSpan w:val="9"/>
            <w:vAlign w:val="center"/>
          </w:tcPr>
          <w:p w14:paraId="74BA45B0">
            <w:pPr>
              <w:jc w:val="center"/>
            </w:pPr>
            <w:r>
              <w:rPr>
                <w:rFonts w:ascii="宋体" w:hAnsi="宋体" w:eastAsia="宋体"/>
                <w:sz w:val="24"/>
              </w:rPr>
              <w:t>（2024年度）</w:t>
            </w:r>
          </w:p>
        </w:tc>
      </w:tr>
      <w:tr w14:paraId="7C6E474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2814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883B0FC">
            <w:pPr>
              <w:jc w:val="center"/>
            </w:pPr>
            <w:r>
              <w:rPr>
                <w:rFonts w:ascii="宋体" w:hAnsi="宋体" w:eastAsia="宋体"/>
                <w:sz w:val="16"/>
              </w:rPr>
              <w:t>岳普湖县阿洪鲁库木乡人民政府</w:t>
            </w:r>
          </w:p>
        </w:tc>
      </w:tr>
      <w:tr w14:paraId="50119EA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76CB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CEB7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A941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69CB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2B68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1BCE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C0AC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68D05">
            <w:pPr>
              <w:jc w:val="center"/>
            </w:pPr>
            <w:r>
              <w:rPr>
                <w:rFonts w:ascii="宋体" w:hAnsi="宋体" w:eastAsia="宋体"/>
                <w:sz w:val="16"/>
              </w:rPr>
              <w:t>得分</w:t>
            </w:r>
          </w:p>
        </w:tc>
      </w:tr>
      <w:tr w14:paraId="0A8789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D51A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687D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E54AF">
            <w:pPr>
              <w:jc w:val="center"/>
            </w:pPr>
            <w:r>
              <w:rPr>
                <w:rFonts w:ascii="宋体" w:hAnsi="宋体" w:eastAsia="宋体"/>
                <w:sz w:val="16"/>
              </w:rPr>
              <w:t>1,328.05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9727D">
            <w:pPr>
              <w:jc w:val="center"/>
            </w:pPr>
            <w:r>
              <w:rPr>
                <w:rFonts w:ascii="宋体" w:hAnsi="宋体" w:eastAsia="宋体"/>
                <w:sz w:val="16"/>
              </w:rPr>
              <w:t>1,479.24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46AAE">
            <w:pPr>
              <w:jc w:val="center"/>
            </w:pPr>
            <w:r>
              <w:rPr>
                <w:rFonts w:ascii="宋体" w:hAnsi="宋体" w:eastAsia="宋体"/>
                <w:sz w:val="16"/>
              </w:rPr>
              <w:t>1,479.24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7E90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0DF7F">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92178">
            <w:pPr>
              <w:jc w:val="center"/>
            </w:pPr>
            <w:r>
              <w:rPr>
                <w:rFonts w:ascii="宋体" w:hAnsi="宋体" w:eastAsia="宋体"/>
                <w:sz w:val="16"/>
              </w:rPr>
              <w:t>10</w:t>
            </w:r>
          </w:p>
        </w:tc>
      </w:tr>
      <w:tr w14:paraId="5682EA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87CB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A4F3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3B147">
            <w:pPr>
              <w:jc w:val="center"/>
            </w:pPr>
            <w:r>
              <w:rPr>
                <w:rFonts w:ascii="宋体" w:hAnsi="宋体" w:eastAsia="宋体"/>
                <w:sz w:val="16"/>
              </w:rPr>
              <w:t>20.99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4D895">
            <w:pPr>
              <w:jc w:val="center"/>
            </w:pPr>
            <w:r>
              <w:rPr>
                <w:rFonts w:ascii="宋体" w:hAnsi="宋体" w:eastAsia="宋体"/>
                <w:sz w:val="16"/>
              </w:rPr>
              <w:t>113.25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31369">
            <w:pPr>
              <w:jc w:val="center"/>
            </w:pPr>
            <w:r>
              <w:rPr>
                <w:rFonts w:ascii="宋体" w:hAnsi="宋体" w:eastAsia="宋体"/>
                <w:sz w:val="16"/>
              </w:rPr>
              <w:t>113.25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E7A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B69D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1DDEB">
            <w:pPr>
              <w:jc w:val="center"/>
            </w:pPr>
            <w:r>
              <w:rPr>
                <w:rFonts w:ascii="宋体" w:hAnsi="宋体" w:eastAsia="宋体"/>
                <w:sz w:val="16"/>
              </w:rPr>
              <w:t>—</w:t>
            </w:r>
          </w:p>
        </w:tc>
      </w:tr>
      <w:tr w14:paraId="4996CF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3D6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8F9A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0649C">
            <w:pPr>
              <w:jc w:val="center"/>
            </w:pPr>
            <w:r>
              <w:rPr>
                <w:rFonts w:ascii="宋体" w:hAnsi="宋体" w:eastAsia="宋体"/>
                <w:sz w:val="16"/>
              </w:rPr>
              <w:t>1,307.06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C0824">
            <w:pPr>
              <w:jc w:val="center"/>
            </w:pPr>
            <w:r>
              <w:rPr>
                <w:rFonts w:ascii="宋体" w:hAnsi="宋体" w:eastAsia="宋体"/>
                <w:sz w:val="16"/>
              </w:rPr>
              <w:t>1,315.19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F1DCC">
            <w:pPr>
              <w:jc w:val="center"/>
            </w:pPr>
            <w:r>
              <w:rPr>
                <w:rFonts w:ascii="宋体" w:hAnsi="宋体" w:eastAsia="宋体"/>
                <w:sz w:val="16"/>
              </w:rPr>
              <w:t>1,315.19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643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8487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64953">
            <w:pPr>
              <w:jc w:val="center"/>
            </w:pPr>
            <w:r>
              <w:rPr>
                <w:rFonts w:ascii="宋体" w:hAnsi="宋体" w:eastAsia="宋体"/>
                <w:sz w:val="16"/>
              </w:rPr>
              <w:t>—</w:t>
            </w:r>
          </w:p>
        </w:tc>
      </w:tr>
      <w:tr w14:paraId="7C0845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8F43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5357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ADB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E4449">
            <w:pPr>
              <w:jc w:val="center"/>
            </w:pPr>
            <w:r>
              <w:rPr>
                <w:rFonts w:ascii="宋体" w:hAnsi="宋体" w:eastAsia="宋体"/>
                <w:sz w:val="16"/>
              </w:rPr>
              <w:t>50.80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E9747">
            <w:pPr>
              <w:jc w:val="center"/>
            </w:pPr>
            <w:r>
              <w:rPr>
                <w:rFonts w:ascii="宋体" w:hAnsi="宋体" w:eastAsia="宋体"/>
                <w:sz w:val="16"/>
              </w:rPr>
              <w:t>50.80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E4B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A4AB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3DB01">
            <w:pPr>
              <w:jc w:val="center"/>
            </w:pPr>
            <w:r>
              <w:rPr>
                <w:rFonts w:ascii="宋体" w:hAnsi="宋体" w:eastAsia="宋体"/>
                <w:sz w:val="16"/>
              </w:rPr>
              <w:t>—</w:t>
            </w:r>
          </w:p>
        </w:tc>
      </w:tr>
      <w:tr w14:paraId="008DC8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A1EC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CA1FE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E4D2D6">
            <w:pPr>
              <w:jc w:val="center"/>
            </w:pPr>
            <w:r>
              <w:rPr>
                <w:rFonts w:ascii="宋体" w:hAnsi="宋体" w:eastAsia="宋体"/>
                <w:sz w:val="16"/>
              </w:rPr>
              <w:t>实际完成情况</w:t>
            </w:r>
          </w:p>
        </w:tc>
      </w:tr>
      <w:tr w14:paraId="315528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2298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FEE0CA">
            <w:pPr>
              <w:jc w:val="both"/>
            </w:pPr>
            <w:r>
              <w:rPr>
                <w:rFonts w:ascii="宋体" w:hAnsi="宋体" w:eastAsia="宋体"/>
                <w:sz w:val="16"/>
              </w:rPr>
              <w:t>推进乡村振兴村级数量4个，全力抓好脱贫攻坚与乡村振兴有效衔接工作。完成基层党组织建设，不断夯实党的执政基础，培养更多高素质专业化干部，保障加强党的基层组织和农村基层政权建设以及农村社会主义民主政治和法治建设。按期完成民族团结宣传教育工作，铸牢中华民族共同体意识。按期完成以就业、教育、医疗、社保等为重点的惠民工程，保障基层民生工作。提升社会公众服务能力，保障乡镇政府公信力。提升农村农业发展质量，促进农业高质高效，加快农业农村现代化，统筹推进乡镇民生福祉和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9ACFCA">
            <w:pPr>
              <w:jc w:val="both"/>
            </w:pPr>
            <w:r>
              <w:rPr>
                <w:rFonts w:ascii="宋体" w:hAnsi="宋体" w:eastAsia="宋体"/>
                <w:sz w:val="16"/>
              </w:rPr>
              <w:t>岳普湖县阿洪鲁库木乡人民政府已完成本年度乡村振兴推进任务，推进乡村振兴村级数量4个，巩固拓展脱贫攻坚成果，严格落实“四个不摘”要求，常态化抓好防止返贫监测帮扶机制，坚决守住不发生规模性返贫底线。已完成本年度基层党组织建设工作，完成率100%，进一步梳理职责清单，明确职责任务和行政职能，深化“五个好”党支部建设标准化规范化创建，培养更多高素质专业化干部，持续深化全面从严治党向各领域延伸，夯实党在基层的执政根基。已完成农村社会主义民主政治和法治建设政策全覆盖，覆盖率100%，坚决维护国家安全和社会稳定，学习贯彻习近平法治思想，坚持依法治理，让法制观念深入人心，让广大群众成为懂法、知法、敬法、守法的法治公民。已完成民族团结宣传教育工作，完成率100%，推进民族团结创建新成效，以网格为基础，以联户为单元，以农户为落点，常态化开展“民族团结一家亲”联谊活动，强化中华民族共同体意识、“五个认同”宣传教育。本年度已完成重点惠民工程，完成及时率100%，尽心竭力办实事、解民忧，紧紧抓住人民最关心最直接最现实的利益问题，采取更多惠民生、暖民心举措，着力破解群众</w:t>
            </w:r>
            <w:r>
              <w:rPr>
                <w:rFonts w:hint="eastAsia" w:ascii="宋体" w:hAnsi="宋体"/>
                <w:sz w:val="16"/>
                <w:lang w:eastAsia="zh-CN"/>
              </w:rPr>
              <w:t>急难愁盼问题</w:t>
            </w:r>
            <w:r>
              <w:rPr>
                <w:rFonts w:ascii="宋体" w:hAnsi="宋体" w:eastAsia="宋体"/>
                <w:sz w:val="16"/>
              </w:rPr>
              <w:t>，提高人民生活品质。</w:t>
            </w:r>
          </w:p>
        </w:tc>
      </w:tr>
      <w:tr w14:paraId="6CA611D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A3C6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BE4A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97B9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70E5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2712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1108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45D6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D6D8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9B9FE">
            <w:pPr>
              <w:jc w:val="center"/>
            </w:pPr>
            <w:r>
              <w:rPr>
                <w:rFonts w:ascii="宋体" w:hAnsi="宋体" w:eastAsia="宋体"/>
                <w:sz w:val="16"/>
              </w:rPr>
              <w:t>得分</w:t>
            </w:r>
          </w:p>
        </w:tc>
      </w:tr>
      <w:tr w14:paraId="274302B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0B056">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BC3E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6FDA1">
            <w:pPr>
              <w:jc w:val="center"/>
            </w:pPr>
            <w:r>
              <w:rPr>
                <w:rFonts w:ascii="宋体" w:hAnsi="宋体" w:eastAsia="宋体"/>
                <w:sz w:val="16"/>
              </w:rPr>
              <w:t>推进乡村振兴村级数量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B7997">
            <w:pPr>
              <w:jc w:val="center"/>
            </w:pPr>
            <w:r>
              <w:rPr>
                <w:rFonts w:ascii="宋体" w:hAnsi="宋体" w:eastAsia="宋体"/>
                <w:sz w:val="16"/>
              </w:rPr>
              <w:t>&gt;=4个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35034">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99D7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77E3A">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294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30254">
            <w:pPr>
              <w:jc w:val="center"/>
            </w:pPr>
            <w:r>
              <w:rPr>
                <w:rFonts w:ascii="宋体" w:hAnsi="宋体" w:eastAsia="宋体"/>
                <w:sz w:val="16"/>
              </w:rPr>
              <w:t>18</w:t>
            </w:r>
          </w:p>
        </w:tc>
      </w:tr>
      <w:tr w14:paraId="0A9E6C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3369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6EAF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65DCD">
            <w:pPr>
              <w:jc w:val="center"/>
            </w:pPr>
            <w:r>
              <w:rPr>
                <w:rFonts w:ascii="宋体" w:hAnsi="宋体" w:eastAsia="宋体"/>
                <w:sz w:val="16"/>
              </w:rPr>
              <w:t>基层党组织建设工作完成率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13F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D7255">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5798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C2D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29E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37ABF">
            <w:pPr>
              <w:jc w:val="center"/>
            </w:pPr>
            <w:r>
              <w:rPr>
                <w:rFonts w:ascii="宋体" w:hAnsi="宋体" w:eastAsia="宋体"/>
                <w:sz w:val="16"/>
              </w:rPr>
              <w:t>18</w:t>
            </w:r>
          </w:p>
        </w:tc>
      </w:tr>
      <w:tr w14:paraId="7F7F95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B95F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6E4C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49FEA">
            <w:pPr>
              <w:jc w:val="center"/>
            </w:pPr>
            <w:r>
              <w:rPr>
                <w:rFonts w:ascii="宋体" w:hAnsi="宋体" w:eastAsia="宋体"/>
                <w:sz w:val="16"/>
              </w:rPr>
              <w:t>民族团结宣传教育工作完成率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CED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60B1E">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A6B4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60B6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F92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F4645">
            <w:pPr>
              <w:jc w:val="center"/>
            </w:pPr>
            <w:r>
              <w:rPr>
                <w:rFonts w:ascii="宋体" w:hAnsi="宋体" w:eastAsia="宋体"/>
                <w:sz w:val="16"/>
              </w:rPr>
              <w:t>18</w:t>
            </w:r>
          </w:p>
        </w:tc>
      </w:tr>
      <w:tr w14:paraId="57DD42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D493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CED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15E2E">
            <w:pPr>
              <w:jc w:val="center"/>
            </w:pPr>
            <w:r>
              <w:rPr>
                <w:rFonts w:ascii="宋体" w:hAnsi="宋体" w:eastAsia="宋体"/>
                <w:sz w:val="16"/>
              </w:rPr>
              <w:t>农村社会主义民主政治和法治建设政策覆盖率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6EE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EDE1F">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4923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3EB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088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D76F8">
            <w:pPr>
              <w:jc w:val="center"/>
            </w:pPr>
            <w:r>
              <w:rPr>
                <w:rFonts w:ascii="宋体" w:hAnsi="宋体" w:eastAsia="宋体"/>
                <w:sz w:val="16"/>
              </w:rPr>
              <w:t>18</w:t>
            </w:r>
          </w:p>
        </w:tc>
      </w:tr>
      <w:tr w14:paraId="382A14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71DE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3A5D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5333B">
            <w:pPr>
              <w:jc w:val="center"/>
            </w:pPr>
            <w:r>
              <w:rPr>
                <w:rFonts w:ascii="宋体" w:hAnsi="宋体" w:eastAsia="宋体"/>
                <w:sz w:val="16"/>
              </w:rPr>
              <w:t>重点惠民工程完成及时率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E37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730B2">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3618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406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260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C34F5">
            <w:pPr>
              <w:jc w:val="center"/>
            </w:pPr>
            <w:r>
              <w:rPr>
                <w:rFonts w:ascii="宋体" w:hAnsi="宋体" w:eastAsia="宋体"/>
                <w:sz w:val="16"/>
              </w:rPr>
              <w:t>18</w:t>
            </w:r>
          </w:p>
        </w:tc>
      </w:tr>
    </w:tbl>
    <w:p w14:paraId="78DD497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481B462B">
        <w:tblPrEx>
          <w:tblCellMar>
            <w:top w:w="0" w:type="dxa"/>
            <w:left w:w="108" w:type="dxa"/>
            <w:bottom w:w="0" w:type="dxa"/>
            <w:right w:w="108" w:type="dxa"/>
          </w:tblCellMar>
        </w:tblPrEx>
        <w:tc>
          <w:tcPr>
            <w:tcW w:w="8848" w:type="dxa"/>
            <w:gridSpan w:val="14"/>
            <w:vAlign w:val="center"/>
          </w:tcPr>
          <w:p w14:paraId="3630B83B">
            <w:pPr>
              <w:jc w:val="center"/>
            </w:pPr>
            <w:r>
              <w:rPr>
                <w:rFonts w:ascii="宋体" w:hAnsi="宋体" w:eastAsia="宋体"/>
                <w:sz w:val="24"/>
              </w:rPr>
              <w:t>项目支出绩效自评表</w:t>
            </w:r>
          </w:p>
        </w:tc>
      </w:tr>
      <w:tr w14:paraId="01615CF0">
        <w:tblPrEx>
          <w:tblCellMar>
            <w:top w:w="0" w:type="dxa"/>
            <w:left w:w="108" w:type="dxa"/>
            <w:bottom w:w="0" w:type="dxa"/>
            <w:right w:w="108" w:type="dxa"/>
          </w:tblCellMar>
        </w:tblPrEx>
        <w:tc>
          <w:tcPr>
            <w:tcW w:w="8848" w:type="dxa"/>
            <w:gridSpan w:val="14"/>
            <w:vAlign w:val="center"/>
          </w:tcPr>
          <w:p w14:paraId="091F3478">
            <w:pPr>
              <w:jc w:val="center"/>
            </w:pPr>
            <w:r>
              <w:rPr>
                <w:rFonts w:ascii="宋体" w:hAnsi="宋体" w:eastAsia="宋体"/>
                <w:sz w:val="24"/>
              </w:rPr>
              <w:t>(2024年度)</w:t>
            </w:r>
          </w:p>
        </w:tc>
      </w:tr>
      <w:tr w14:paraId="00382B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F3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1DA3F8">
            <w:pPr>
              <w:jc w:val="center"/>
            </w:pPr>
            <w:r>
              <w:rPr>
                <w:rFonts w:ascii="宋体" w:hAnsi="宋体" w:eastAsia="宋体"/>
                <w:sz w:val="16"/>
              </w:rPr>
              <w:t>2024年“</w:t>
            </w:r>
            <w:r>
              <w:rPr>
                <w:rFonts w:hint="eastAsia" w:ascii="宋体" w:hAnsi="宋体"/>
                <w:sz w:val="16"/>
                <w:lang w:eastAsia="zh-CN"/>
              </w:rPr>
              <w:t>为民办实事</w:t>
            </w:r>
            <w:r>
              <w:rPr>
                <w:rFonts w:ascii="宋体" w:hAnsi="宋体" w:eastAsia="宋体"/>
                <w:sz w:val="16"/>
              </w:rPr>
              <w:t>”工作队惠民工程项目</w:t>
            </w:r>
          </w:p>
        </w:tc>
      </w:tr>
      <w:tr w14:paraId="352CB4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C5BE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57613B">
            <w:pPr>
              <w:jc w:val="center"/>
            </w:pPr>
            <w:r>
              <w:rPr>
                <w:rFonts w:ascii="宋体" w:hAnsi="宋体" w:eastAsia="宋体"/>
                <w:sz w:val="16"/>
              </w:rPr>
              <w:t>岳普湖县阿洪鲁库木乡人民政府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12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140DD4">
            <w:pPr>
              <w:jc w:val="center"/>
            </w:pPr>
            <w:r>
              <w:rPr>
                <w:rFonts w:ascii="宋体" w:hAnsi="宋体" w:eastAsia="宋体"/>
                <w:sz w:val="16"/>
              </w:rPr>
              <w:t>岳普湖县阿洪鲁库木乡人民政府</w:t>
            </w:r>
          </w:p>
        </w:tc>
      </w:tr>
      <w:tr w14:paraId="3B997A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BC3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538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E6D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EA9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E0C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3B4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17A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D406">
            <w:pPr>
              <w:jc w:val="center"/>
            </w:pPr>
            <w:r>
              <w:rPr>
                <w:rFonts w:ascii="宋体" w:hAnsi="宋体" w:eastAsia="宋体"/>
                <w:sz w:val="16"/>
              </w:rPr>
              <w:t>得分</w:t>
            </w:r>
          </w:p>
        </w:tc>
      </w:tr>
      <w:tr w14:paraId="64C81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80C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138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3A05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F4AD9">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2597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210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D29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4221">
            <w:pPr>
              <w:jc w:val="center"/>
            </w:pPr>
            <w:r>
              <w:rPr>
                <w:rFonts w:ascii="宋体" w:hAnsi="宋体" w:eastAsia="宋体"/>
                <w:sz w:val="16"/>
              </w:rPr>
              <w:t>10.00分</w:t>
            </w:r>
          </w:p>
        </w:tc>
      </w:tr>
      <w:tr w14:paraId="1340A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B3F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0DB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A67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20C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A29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EC9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87BA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9ACA">
            <w:pPr>
              <w:jc w:val="center"/>
            </w:pPr>
            <w:r>
              <w:rPr>
                <w:rFonts w:ascii="宋体" w:hAnsi="宋体" w:eastAsia="宋体"/>
                <w:sz w:val="16"/>
              </w:rPr>
              <w:t>—</w:t>
            </w:r>
          </w:p>
        </w:tc>
      </w:tr>
      <w:tr w14:paraId="75D88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69A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0C2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7423A">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8B56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EC475">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34D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7D17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07E2">
            <w:pPr>
              <w:jc w:val="center"/>
            </w:pPr>
            <w:r>
              <w:rPr>
                <w:rFonts w:ascii="宋体" w:hAnsi="宋体" w:eastAsia="宋体"/>
                <w:sz w:val="16"/>
              </w:rPr>
              <w:t>—</w:t>
            </w:r>
          </w:p>
        </w:tc>
      </w:tr>
      <w:tr w14:paraId="6B39F5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84B0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15E0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5617CF">
            <w:pPr>
              <w:jc w:val="center"/>
            </w:pPr>
            <w:r>
              <w:rPr>
                <w:rFonts w:ascii="宋体" w:hAnsi="宋体" w:eastAsia="宋体"/>
                <w:sz w:val="16"/>
              </w:rPr>
              <w:t>实际完成情况</w:t>
            </w:r>
          </w:p>
        </w:tc>
      </w:tr>
      <w:tr w14:paraId="10593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82B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6CA18">
            <w:pPr>
              <w:jc w:val="both"/>
            </w:pPr>
            <w:r>
              <w:rPr>
                <w:rFonts w:ascii="宋体" w:hAnsi="宋体" w:eastAsia="宋体"/>
                <w:sz w:val="16"/>
              </w:rPr>
              <w:t>根据岳普湖县实际情况，为提升阿洪鲁库木乡胡杨村建设水平，实施</w:t>
            </w:r>
            <w:r>
              <w:rPr>
                <w:rFonts w:hint="eastAsia" w:ascii="宋体" w:hAnsi="宋体"/>
                <w:sz w:val="16"/>
                <w:lang w:eastAsia="zh-CN"/>
              </w:rPr>
              <w:t>为民办实事</w:t>
            </w:r>
            <w:r>
              <w:rPr>
                <w:rFonts w:ascii="宋体" w:hAnsi="宋体" w:eastAsia="宋体"/>
                <w:sz w:val="16"/>
              </w:rPr>
              <w:t>工作队惠民工程，主要建设消防车库以及屋顶防水、冬季取暖等配套；戈壁路整修拓展及钢筋混凝土桥；桥梁拓宽。项目建设工程数量1个。项目的实施推动基础设施和公共服务补短板，切实加强消防安全处置能力和辖区群众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97D9F1">
            <w:pPr>
              <w:jc w:val="both"/>
            </w:pPr>
            <w:r>
              <w:rPr>
                <w:rFonts w:ascii="宋体" w:hAnsi="宋体" w:eastAsia="宋体"/>
                <w:sz w:val="16"/>
              </w:rPr>
              <w:t>项目已完成阿洪鲁库木乡胡杨村</w:t>
            </w:r>
            <w:r>
              <w:rPr>
                <w:rFonts w:hint="eastAsia" w:ascii="宋体" w:hAnsi="宋体"/>
                <w:sz w:val="16"/>
                <w:lang w:eastAsia="zh-CN"/>
              </w:rPr>
              <w:t>为民办实事</w:t>
            </w:r>
            <w:r>
              <w:rPr>
                <w:rFonts w:ascii="宋体" w:hAnsi="宋体" w:eastAsia="宋体"/>
                <w:sz w:val="16"/>
              </w:rPr>
              <w:t>工作队惠民建设工程当年度支付任务，主要建设消防车库以及屋顶防水、冬季取暖等配套；戈壁路整修拓展及钢筋混凝土桥；桥梁拓宽。项目建设工程数量1个。预算执行率100%。项目的实施有效推动基础设施和公共服务补短板，切实加强消防安全处置能力和辖区群众生活水平。项目的受益人员满意度为100%。</w:t>
            </w:r>
          </w:p>
        </w:tc>
      </w:tr>
      <w:tr w14:paraId="5DA3D9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0E0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7C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6F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213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0C2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5F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14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30C0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8BB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9D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C2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FB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85C3D">
            <w:pPr>
              <w:jc w:val="center"/>
            </w:pPr>
            <w:r>
              <w:rPr>
                <w:rFonts w:ascii="宋体" w:hAnsi="宋体" w:eastAsia="宋体"/>
                <w:sz w:val="16"/>
              </w:rPr>
              <w:t>偏差原因分析及改进措施</w:t>
            </w:r>
          </w:p>
        </w:tc>
      </w:tr>
      <w:tr w14:paraId="41B4F0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C8C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04F2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8B8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61D55">
            <w:pPr>
              <w:jc w:val="center"/>
            </w:pPr>
            <w:r>
              <w:rPr>
                <w:rFonts w:ascii="宋体" w:hAnsi="宋体" w:eastAsia="宋体"/>
                <w:sz w:val="16"/>
              </w:rPr>
              <w:t>项目建设工程数量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57C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A5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1C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198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64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2B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346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24B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DECF3">
            <w:pPr>
              <w:jc w:val="center"/>
            </w:pPr>
          </w:p>
        </w:tc>
      </w:tr>
      <w:tr w14:paraId="2F8F63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E6D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CD4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EA6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396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9F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461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41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DB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51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EC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26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928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B00A9">
            <w:pPr>
              <w:jc w:val="center"/>
            </w:pPr>
          </w:p>
        </w:tc>
      </w:tr>
      <w:tr w14:paraId="6A73D2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EC1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D4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8A9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693C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7C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A0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F89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F7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A5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94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8C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BFA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C1DCE">
            <w:pPr>
              <w:jc w:val="center"/>
            </w:pPr>
          </w:p>
        </w:tc>
      </w:tr>
      <w:tr w14:paraId="02E46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F2F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317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1C8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D5E9">
            <w:pPr>
              <w:jc w:val="center"/>
            </w:pPr>
            <w:r>
              <w:rPr>
                <w:rFonts w:ascii="宋体" w:hAnsi="宋体" w:eastAsia="宋体"/>
                <w:sz w:val="16"/>
              </w:rPr>
              <w:t>工程竣工及时率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01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B0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60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EA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98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D6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7B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F539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64581">
            <w:pPr>
              <w:jc w:val="center"/>
            </w:pPr>
          </w:p>
        </w:tc>
      </w:tr>
      <w:tr w14:paraId="5D326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7CF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F5B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AC2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FF12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7E85">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FA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5A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DAA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3B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99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37B4">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E534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34628">
            <w:pPr>
              <w:jc w:val="center"/>
            </w:pPr>
          </w:p>
        </w:tc>
      </w:tr>
      <w:tr w14:paraId="3B921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A25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DED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9B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832C">
            <w:pPr>
              <w:jc w:val="center"/>
            </w:pPr>
            <w:r>
              <w:rPr>
                <w:rFonts w:hint="eastAsia" w:ascii="宋体" w:hAnsi="宋体"/>
                <w:sz w:val="16"/>
                <w:lang w:eastAsia="zh-CN"/>
              </w:rPr>
              <w:t>为民办实事</w:t>
            </w:r>
            <w:r>
              <w:rPr>
                <w:rFonts w:ascii="宋体" w:hAnsi="宋体" w:eastAsia="宋体"/>
                <w:sz w:val="16"/>
              </w:rPr>
              <w:t>工作队惠民工程预算控制数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18E7">
            <w:pPr>
              <w:jc w:val="center"/>
            </w:pPr>
            <w:r>
              <w:rPr>
                <w:rFonts w:ascii="宋体" w:hAnsi="宋体" w:eastAsia="宋体"/>
                <w:sz w:val="16"/>
              </w:rPr>
              <w:t>&lt;=40.00万元/个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BA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71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2D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EF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A3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5DC59">
            <w:pPr>
              <w:jc w:val="center"/>
            </w:pPr>
            <w:r>
              <w:rPr>
                <w:rFonts w:ascii="宋体" w:hAnsi="宋体" w:eastAsia="宋体"/>
                <w:sz w:val="16"/>
              </w:rPr>
              <w:t>=40万元/个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CF94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5D0BE">
            <w:pPr>
              <w:jc w:val="center"/>
            </w:pPr>
          </w:p>
        </w:tc>
      </w:tr>
      <w:tr w14:paraId="5E133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F17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68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0D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BCD0">
            <w:pPr>
              <w:jc w:val="center"/>
            </w:pPr>
            <w:r>
              <w:rPr>
                <w:rFonts w:ascii="宋体" w:hAnsi="宋体" w:eastAsia="宋体"/>
                <w:sz w:val="16"/>
              </w:rPr>
              <w:t>推动基础设施和公共服务补短板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1248">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A2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8B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B7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3B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50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98AC">
            <w:pPr>
              <w:jc w:val="center"/>
            </w:pPr>
            <w:r>
              <w:rPr>
                <w:rFonts w:ascii="宋体" w:hAnsi="宋体" w:eastAsia="宋体"/>
                <w:sz w:val="16"/>
              </w:rPr>
              <w:t>有效推动</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21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10C42">
            <w:pPr>
              <w:jc w:val="center"/>
            </w:pPr>
          </w:p>
        </w:tc>
      </w:tr>
      <w:tr w14:paraId="656CA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796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EF2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14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3827">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AE6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CB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DC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DA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A7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E1B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666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4B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851E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51BA03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09D3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114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FD02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A90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7D7F34"/>
        </w:tc>
      </w:tr>
    </w:tbl>
    <w:p w14:paraId="4DABC4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54AAEB0">
        <w:tblPrEx>
          <w:tblCellMar>
            <w:top w:w="0" w:type="dxa"/>
            <w:left w:w="108" w:type="dxa"/>
            <w:bottom w:w="0" w:type="dxa"/>
            <w:right w:w="108" w:type="dxa"/>
          </w:tblCellMar>
        </w:tblPrEx>
        <w:tc>
          <w:tcPr>
            <w:tcW w:w="8848" w:type="dxa"/>
            <w:gridSpan w:val="14"/>
            <w:vAlign w:val="center"/>
          </w:tcPr>
          <w:p w14:paraId="10CB4279">
            <w:pPr>
              <w:jc w:val="center"/>
            </w:pPr>
            <w:r>
              <w:rPr>
                <w:rFonts w:ascii="宋体" w:hAnsi="宋体" w:eastAsia="宋体"/>
                <w:sz w:val="24"/>
              </w:rPr>
              <w:t>项目支出绩效自评表</w:t>
            </w:r>
          </w:p>
        </w:tc>
      </w:tr>
      <w:tr w14:paraId="43EC0A74">
        <w:tblPrEx>
          <w:tblCellMar>
            <w:top w:w="0" w:type="dxa"/>
            <w:left w:w="108" w:type="dxa"/>
            <w:bottom w:w="0" w:type="dxa"/>
            <w:right w:w="108" w:type="dxa"/>
          </w:tblCellMar>
        </w:tblPrEx>
        <w:tc>
          <w:tcPr>
            <w:tcW w:w="8848" w:type="dxa"/>
            <w:gridSpan w:val="14"/>
            <w:vAlign w:val="center"/>
          </w:tcPr>
          <w:p w14:paraId="2579639A">
            <w:pPr>
              <w:jc w:val="center"/>
            </w:pPr>
            <w:r>
              <w:rPr>
                <w:rFonts w:ascii="宋体" w:hAnsi="宋体" w:eastAsia="宋体"/>
                <w:sz w:val="24"/>
              </w:rPr>
              <w:t>(2024年度)</w:t>
            </w:r>
          </w:p>
        </w:tc>
      </w:tr>
      <w:tr w14:paraId="726C15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E25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F20F78">
            <w:pPr>
              <w:jc w:val="center"/>
            </w:pPr>
            <w:r>
              <w:rPr>
                <w:rFonts w:ascii="宋体" w:hAnsi="宋体" w:eastAsia="宋体"/>
                <w:sz w:val="16"/>
              </w:rPr>
              <w:t>2024年乡镇工作经费项目</w:t>
            </w:r>
          </w:p>
        </w:tc>
      </w:tr>
      <w:tr w14:paraId="0D0129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B0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34E6EE">
            <w:pPr>
              <w:jc w:val="center"/>
            </w:pPr>
            <w:r>
              <w:rPr>
                <w:rFonts w:ascii="宋体" w:hAnsi="宋体" w:eastAsia="宋体"/>
                <w:sz w:val="16"/>
              </w:rPr>
              <w:t>岳普湖县阿洪鲁库木乡人民政府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32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B80A33">
            <w:pPr>
              <w:jc w:val="center"/>
            </w:pPr>
            <w:r>
              <w:rPr>
                <w:rFonts w:ascii="宋体" w:hAnsi="宋体" w:eastAsia="宋体"/>
                <w:sz w:val="16"/>
              </w:rPr>
              <w:t>岳普湖县阿洪鲁库木乡人民政府</w:t>
            </w:r>
          </w:p>
        </w:tc>
      </w:tr>
      <w:tr w14:paraId="45D30F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D3E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E28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50B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9B2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7C71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55E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27B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C5F7">
            <w:pPr>
              <w:jc w:val="center"/>
            </w:pPr>
            <w:r>
              <w:rPr>
                <w:rFonts w:ascii="宋体" w:hAnsi="宋体" w:eastAsia="宋体"/>
                <w:sz w:val="16"/>
              </w:rPr>
              <w:t>得分</w:t>
            </w:r>
          </w:p>
        </w:tc>
      </w:tr>
      <w:tr w14:paraId="7C6295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0EF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D9F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9DAE9">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43291">
            <w:pPr>
              <w:jc w:val="center"/>
            </w:pPr>
            <w:r>
              <w:rPr>
                <w:rFonts w:ascii="宋体" w:hAnsi="宋体" w:eastAsia="宋体"/>
                <w:sz w:val="16"/>
              </w:rPr>
              <w:t>41.79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81C22">
            <w:pPr>
              <w:jc w:val="center"/>
            </w:pPr>
            <w:r>
              <w:rPr>
                <w:rFonts w:ascii="宋体" w:hAnsi="宋体" w:eastAsia="宋体"/>
                <w:sz w:val="16"/>
              </w:rPr>
              <w:t>41.79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9A9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35C4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29B0">
            <w:pPr>
              <w:jc w:val="center"/>
            </w:pPr>
            <w:r>
              <w:rPr>
                <w:rFonts w:ascii="宋体" w:hAnsi="宋体" w:eastAsia="宋体"/>
                <w:sz w:val="16"/>
              </w:rPr>
              <w:t>10.00分</w:t>
            </w:r>
          </w:p>
        </w:tc>
      </w:tr>
      <w:tr w14:paraId="12AB46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51D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D4D5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8717B">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8A3C1">
            <w:pPr>
              <w:jc w:val="center"/>
            </w:pPr>
            <w:r>
              <w:rPr>
                <w:rFonts w:ascii="宋体" w:hAnsi="宋体" w:eastAsia="宋体"/>
                <w:sz w:val="16"/>
              </w:rPr>
              <w:t>41.79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F3182">
            <w:pPr>
              <w:jc w:val="center"/>
            </w:pPr>
            <w:r>
              <w:rPr>
                <w:rFonts w:ascii="宋体" w:hAnsi="宋体" w:eastAsia="宋体"/>
                <w:sz w:val="16"/>
              </w:rPr>
              <w:t>41.79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F62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DB1E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341D">
            <w:pPr>
              <w:jc w:val="center"/>
            </w:pPr>
            <w:r>
              <w:rPr>
                <w:rFonts w:ascii="宋体" w:hAnsi="宋体" w:eastAsia="宋体"/>
                <w:sz w:val="16"/>
              </w:rPr>
              <w:t>—</w:t>
            </w:r>
          </w:p>
        </w:tc>
      </w:tr>
      <w:tr w14:paraId="74A5A2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0CE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7D3E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86B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098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C0E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975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D979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8E8F">
            <w:pPr>
              <w:jc w:val="center"/>
            </w:pPr>
            <w:r>
              <w:rPr>
                <w:rFonts w:ascii="宋体" w:hAnsi="宋体" w:eastAsia="宋体"/>
                <w:sz w:val="16"/>
              </w:rPr>
              <w:t>—</w:t>
            </w:r>
          </w:p>
        </w:tc>
      </w:tr>
      <w:tr w14:paraId="7EFC8F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F323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DC9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84A467">
            <w:pPr>
              <w:jc w:val="center"/>
            </w:pPr>
            <w:r>
              <w:rPr>
                <w:rFonts w:ascii="宋体" w:hAnsi="宋体" w:eastAsia="宋体"/>
                <w:sz w:val="16"/>
              </w:rPr>
              <w:t>实际完成情况</w:t>
            </w:r>
          </w:p>
        </w:tc>
      </w:tr>
      <w:tr w14:paraId="3ECDBF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A8F1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8ECB31">
            <w:pPr>
              <w:jc w:val="both"/>
            </w:pPr>
            <w:r>
              <w:rPr>
                <w:rFonts w:ascii="宋体" w:hAnsi="宋体" w:eastAsia="宋体"/>
                <w:sz w:val="16"/>
              </w:rPr>
              <w:t>根据岳普湖县实际情况，为确保岳普湖县阿洪鲁库木乡人民政府各项工作有序进行，贯彻落实好县委、县政府各项工作部署要求，为阿洪鲁库木乡人民政府提供经费保障，经费保障单位数量1个。通过项目的实施提升社会公众服务能力，保障单位日常工作顺利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FE3B34">
            <w:pPr>
              <w:jc w:val="both"/>
            </w:pPr>
            <w:r>
              <w:rPr>
                <w:rFonts w:ascii="宋体" w:hAnsi="宋体" w:eastAsia="宋体"/>
                <w:sz w:val="16"/>
              </w:rPr>
              <w:t>项目已完成2024年度阿洪鲁库木乡人民政府经费保障任务，经费保障单位数量1个。预算执行率100%。通过项目的实施有效提升社会公众服务能力，保障单位日常工作顺利实施。</w:t>
            </w:r>
          </w:p>
        </w:tc>
      </w:tr>
      <w:tr w14:paraId="687782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4F4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56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18D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FDA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F4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35B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9E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04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77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D3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18A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71D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61851">
            <w:pPr>
              <w:jc w:val="center"/>
            </w:pPr>
            <w:r>
              <w:rPr>
                <w:rFonts w:ascii="宋体" w:hAnsi="宋体" w:eastAsia="宋体"/>
                <w:sz w:val="16"/>
              </w:rPr>
              <w:t>偏差原因分析及改进措施</w:t>
            </w:r>
          </w:p>
        </w:tc>
      </w:tr>
      <w:tr w14:paraId="4FD081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190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13A0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BF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CEDB7">
            <w:pPr>
              <w:jc w:val="center"/>
            </w:pPr>
            <w:r>
              <w:rPr>
                <w:rFonts w:ascii="宋体" w:hAnsi="宋体" w:eastAsia="宋体"/>
                <w:sz w:val="16"/>
              </w:rPr>
              <w:t>项目经费保障单位数量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7E2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860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C5CE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21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28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61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BBB2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69D2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9E7C1">
            <w:pPr>
              <w:jc w:val="center"/>
            </w:pPr>
          </w:p>
        </w:tc>
      </w:tr>
      <w:tr w14:paraId="5F99B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6CF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59F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EE9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40E4">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6B2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58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FB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9C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9B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43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FD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826C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2F7D1">
            <w:pPr>
              <w:jc w:val="center"/>
            </w:pPr>
          </w:p>
        </w:tc>
      </w:tr>
      <w:tr w14:paraId="12806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991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EB6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11C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872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9E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27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CB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B9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EA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B6B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CB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FB6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AA618">
            <w:pPr>
              <w:jc w:val="center"/>
            </w:pPr>
          </w:p>
        </w:tc>
      </w:tr>
      <w:tr w14:paraId="2175F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C92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DE4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EAF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349C">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B1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15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0B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BD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AAA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BE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D8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38F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AF529">
            <w:pPr>
              <w:jc w:val="center"/>
            </w:pPr>
          </w:p>
        </w:tc>
      </w:tr>
      <w:tr w14:paraId="13146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F27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485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F11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5BE61">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19C6">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DA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F4D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32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DE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6D6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5B847">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ACF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22D24">
            <w:pPr>
              <w:jc w:val="center"/>
            </w:pPr>
          </w:p>
        </w:tc>
      </w:tr>
      <w:tr w14:paraId="32550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A7C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B3E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9F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522A">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D79F">
            <w:pPr>
              <w:jc w:val="center"/>
            </w:pPr>
            <w:r>
              <w:rPr>
                <w:rFonts w:ascii="宋体" w:hAnsi="宋体" w:eastAsia="宋体"/>
                <w:sz w:val="16"/>
              </w:rPr>
              <w:t>&lt;=41.79万元/个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DC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9193">
            <w:pPr>
              <w:jc w:val="center"/>
            </w:pPr>
            <w:r>
              <w:rPr>
                <w:rFonts w:ascii="宋体" w:hAnsi="宋体" w:eastAsia="宋体"/>
                <w:sz w:val="16"/>
              </w:rPr>
              <w:t>30万元/个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4A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B2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25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A58EB">
            <w:pPr>
              <w:jc w:val="center"/>
            </w:pPr>
            <w:r>
              <w:rPr>
                <w:rFonts w:ascii="宋体" w:hAnsi="宋体" w:eastAsia="宋体"/>
                <w:sz w:val="16"/>
              </w:rPr>
              <w:t>=41.79万元/个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1B9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101BD">
            <w:pPr>
              <w:jc w:val="center"/>
            </w:pPr>
          </w:p>
        </w:tc>
      </w:tr>
      <w:tr w14:paraId="4901F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0BA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54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5C1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A5B8">
            <w:pPr>
              <w:jc w:val="center"/>
            </w:pPr>
            <w:r>
              <w:rPr>
                <w:rFonts w:ascii="宋体" w:hAnsi="宋体" w:eastAsia="宋体"/>
                <w:sz w:val="16"/>
              </w:rPr>
              <w:t>保障单位日常工作顺利实施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A2E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27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96B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FA2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14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80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1C02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D426">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D8CE0">
            <w:pPr>
              <w:jc w:val="center"/>
            </w:pPr>
          </w:p>
        </w:tc>
      </w:tr>
      <w:tr w14:paraId="75E8975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77659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A8B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ED4C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9EC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9C6DCA"/>
        </w:tc>
      </w:tr>
    </w:tbl>
    <w:p w14:paraId="157C34F6">
      <w:r>
        <w:br w:type="page"/>
      </w:r>
    </w:p>
    <w:p w14:paraId="084FBE04">
      <w:pPr>
        <w:spacing w:line="640" w:lineRule="exact"/>
        <w:ind w:firstLine="640"/>
        <w:jc w:val="both"/>
        <w:outlineLvl w:val="2"/>
      </w:pPr>
      <w:r>
        <w:rPr>
          <w:rFonts w:ascii="黑体" w:hAnsi="黑体" w:eastAsia="黑体"/>
          <w:sz w:val="32"/>
        </w:rPr>
        <w:t>十二、其他需说明的事项</w:t>
      </w:r>
    </w:p>
    <w:p w14:paraId="01B12D43">
      <w:pPr>
        <w:spacing w:line="580" w:lineRule="exact"/>
        <w:ind w:firstLine="640"/>
        <w:jc w:val="both"/>
      </w:pPr>
      <w:r>
        <w:rPr>
          <w:rFonts w:ascii="仿宋_GB2312" w:hAnsi="仿宋_GB2312" w:eastAsia="仿宋_GB2312"/>
          <w:b w:val="0"/>
          <w:sz w:val="32"/>
        </w:rPr>
        <w:t>本单位无其他需说明的事项。</w:t>
      </w:r>
    </w:p>
    <w:p w14:paraId="0BF81D58">
      <w:r>
        <w:br w:type="page"/>
      </w:r>
    </w:p>
    <w:p w14:paraId="7924C460">
      <w:pPr>
        <w:spacing w:line="240" w:lineRule="auto"/>
        <w:jc w:val="center"/>
        <w:outlineLvl w:val="1"/>
      </w:pPr>
      <w:r>
        <w:rPr>
          <w:rFonts w:ascii="黑体" w:hAnsi="黑体" w:eastAsia="黑体"/>
          <w:sz w:val="32"/>
        </w:rPr>
        <w:t>第三部分 专业名词解释</w:t>
      </w:r>
    </w:p>
    <w:p w14:paraId="7F4BEF7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0F3EEC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2C601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9CDF27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501AD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361FB2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1C1542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AC8156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C9ED8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192CD0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AB267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7406DB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E23E0F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FD3849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F8C50FF">
      <w:r>
        <w:br w:type="page"/>
      </w:r>
    </w:p>
    <w:p w14:paraId="57252AD1">
      <w:pPr>
        <w:spacing w:line="240" w:lineRule="auto"/>
        <w:jc w:val="center"/>
        <w:outlineLvl w:val="1"/>
      </w:pPr>
      <w:r>
        <w:rPr>
          <w:rFonts w:ascii="黑体" w:hAnsi="黑体" w:eastAsia="黑体"/>
          <w:sz w:val="32"/>
        </w:rPr>
        <w:t>第四部分 部门决算报表（见附表）</w:t>
      </w:r>
    </w:p>
    <w:p w14:paraId="536F9C01">
      <w:pPr>
        <w:spacing w:line="240" w:lineRule="auto"/>
        <w:ind w:firstLine="640"/>
        <w:jc w:val="both"/>
      </w:pPr>
      <w:r>
        <w:rPr>
          <w:rFonts w:ascii="仿宋_GB2312" w:hAnsi="仿宋_GB2312" w:eastAsia="仿宋_GB2312"/>
          <w:b w:val="0"/>
          <w:sz w:val="32"/>
        </w:rPr>
        <w:t>一、《收入支出决算总表》</w:t>
      </w:r>
    </w:p>
    <w:p w14:paraId="2F622F25">
      <w:pPr>
        <w:spacing w:line="240" w:lineRule="auto"/>
        <w:ind w:firstLine="640"/>
        <w:jc w:val="both"/>
      </w:pPr>
      <w:r>
        <w:rPr>
          <w:rFonts w:ascii="仿宋_GB2312" w:hAnsi="仿宋_GB2312" w:eastAsia="仿宋_GB2312"/>
          <w:b w:val="0"/>
          <w:sz w:val="32"/>
        </w:rPr>
        <w:t>二、《收入决算表》</w:t>
      </w:r>
    </w:p>
    <w:p w14:paraId="3405FE1E">
      <w:pPr>
        <w:spacing w:line="240" w:lineRule="auto"/>
        <w:ind w:firstLine="640"/>
        <w:jc w:val="both"/>
      </w:pPr>
      <w:r>
        <w:rPr>
          <w:rFonts w:ascii="仿宋_GB2312" w:hAnsi="仿宋_GB2312" w:eastAsia="仿宋_GB2312"/>
          <w:b w:val="0"/>
          <w:sz w:val="32"/>
        </w:rPr>
        <w:t>三、《支出决算表》</w:t>
      </w:r>
    </w:p>
    <w:p w14:paraId="6C523450">
      <w:pPr>
        <w:spacing w:line="240" w:lineRule="auto"/>
        <w:ind w:firstLine="640"/>
        <w:jc w:val="both"/>
      </w:pPr>
      <w:r>
        <w:rPr>
          <w:rFonts w:ascii="仿宋_GB2312" w:hAnsi="仿宋_GB2312" w:eastAsia="仿宋_GB2312"/>
          <w:b w:val="0"/>
          <w:sz w:val="32"/>
        </w:rPr>
        <w:t>四、《财政拨款收入支出决算总表》</w:t>
      </w:r>
    </w:p>
    <w:p w14:paraId="20D51F01">
      <w:pPr>
        <w:spacing w:line="240" w:lineRule="auto"/>
        <w:ind w:firstLine="640"/>
        <w:jc w:val="both"/>
      </w:pPr>
      <w:r>
        <w:rPr>
          <w:rFonts w:ascii="仿宋_GB2312" w:hAnsi="仿宋_GB2312" w:eastAsia="仿宋_GB2312"/>
          <w:b w:val="0"/>
          <w:sz w:val="32"/>
        </w:rPr>
        <w:t>五、《一般公共预算财政拨款支出决算表》</w:t>
      </w:r>
    </w:p>
    <w:p w14:paraId="157FEBB6">
      <w:pPr>
        <w:spacing w:line="240" w:lineRule="auto"/>
        <w:ind w:firstLine="640"/>
        <w:jc w:val="both"/>
      </w:pPr>
      <w:r>
        <w:rPr>
          <w:rFonts w:ascii="仿宋_GB2312" w:hAnsi="仿宋_GB2312" w:eastAsia="仿宋_GB2312"/>
          <w:b w:val="0"/>
          <w:sz w:val="32"/>
        </w:rPr>
        <w:t>六、《一般公共预算财政拨款基本支出决算表》</w:t>
      </w:r>
    </w:p>
    <w:p w14:paraId="3C77B856">
      <w:pPr>
        <w:spacing w:line="240" w:lineRule="auto"/>
        <w:ind w:firstLine="640"/>
        <w:jc w:val="both"/>
      </w:pPr>
      <w:r>
        <w:rPr>
          <w:rFonts w:ascii="仿宋_GB2312" w:hAnsi="仿宋_GB2312" w:eastAsia="仿宋_GB2312"/>
          <w:b w:val="0"/>
          <w:sz w:val="32"/>
        </w:rPr>
        <w:t>七、《政府性基金预算财政拨款收入支出决算表》</w:t>
      </w:r>
    </w:p>
    <w:p w14:paraId="518F7DB3">
      <w:pPr>
        <w:spacing w:line="240" w:lineRule="auto"/>
        <w:ind w:firstLine="640"/>
        <w:jc w:val="both"/>
      </w:pPr>
      <w:r>
        <w:rPr>
          <w:rFonts w:ascii="仿宋_GB2312" w:hAnsi="仿宋_GB2312" w:eastAsia="仿宋_GB2312"/>
          <w:b w:val="0"/>
          <w:sz w:val="32"/>
        </w:rPr>
        <w:t>八、《国有资本经营预算财政拨款收入支出决算表》</w:t>
      </w:r>
    </w:p>
    <w:p w14:paraId="0CF92D2B">
      <w:pPr>
        <w:spacing w:line="240" w:lineRule="auto"/>
        <w:ind w:firstLine="640"/>
        <w:jc w:val="both"/>
      </w:pPr>
      <w:r>
        <w:rPr>
          <w:rFonts w:ascii="仿宋_GB2312" w:hAnsi="仿宋_GB2312" w:eastAsia="仿宋_GB2312"/>
          <w:b w:val="0"/>
          <w:sz w:val="32"/>
        </w:rPr>
        <w:t>九、《财政拨款“三公”经费支出决算表》</w:t>
      </w:r>
    </w:p>
    <w:p w14:paraId="375AEDE9">
      <w:pPr>
        <w:spacing w:line="240" w:lineRule="auto"/>
        <w:ind w:firstLine="640"/>
        <w:jc w:val="both"/>
      </w:pPr>
    </w:p>
    <w:p w14:paraId="712F8C5C">
      <w:pPr>
        <w:spacing w:line="240" w:lineRule="auto"/>
        <w:ind w:firstLine="640"/>
        <w:jc w:val="both"/>
      </w:pPr>
    </w:p>
    <w:p w14:paraId="685BA658">
      <w:pPr>
        <w:spacing w:line="240" w:lineRule="auto"/>
        <w:ind w:firstLine="640"/>
        <w:jc w:val="both"/>
      </w:pPr>
    </w:p>
    <w:p w14:paraId="46FFE4F4">
      <w:pPr>
        <w:spacing w:line="240" w:lineRule="auto"/>
        <w:ind w:firstLine="640"/>
        <w:jc w:val="both"/>
      </w:pPr>
    </w:p>
    <w:p w14:paraId="0A18893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105C95"/>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877DA2"/>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904A91"/>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E144ED"/>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DE1330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6188</Words>
  <Characters>7171</Characters>
  <Lines>0</Lines>
  <Paragraphs>0</Paragraphs>
  <TotalTime>5</TotalTime>
  <ScaleCrop>false</ScaleCrop>
  <LinksUpToDate>false</LinksUpToDate>
  <CharactersWithSpaces>7179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2025-09-12T10:06:34Z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