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1AB0A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76683318"/>
      <w:bookmarkStart w:id="1" w:name="_Toc29056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none"/>
          <w:lang w:val="en-US" w:eastAsia="zh-CN"/>
        </w:rPr>
        <w:t>岳普湖县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 w14:paraId="1B4CF003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outlineLvl w:val="0"/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</w:pPr>
      <w:bookmarkStart w:id="2" w:name="_Toc76683364"/>
      <w:r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  <w:t>行政处罚决定书</w:t>
      </w:r>
      <w:bookmarkEnd w:id="2"/>
    </w:p>
    <w:p w14:paraId="092E4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岳市监罚字〔2024〕060号</w:t>
      </w:r>
    </w:p>
    <w:p w14:paraId="26C4411C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560" w:lineRule="exact"/>
        <w:ind w:right="55" w:firstLine="5440" w:firstLineChars="1700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20802600</wp:posOffset>
                </wp:positionV>
                <wp:extent cx="5761990" cy="0"/>
                <wp:effectExtent l="0" t="9525" r="3810" b="1587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0F51D5">
                            <w:pPr>
                              <w:wordWrap w:val="0"/>
                              <w:rPr>
                                <w:rFonts w:ascii="宋体" w:hAnsi="宋体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1638pt;height:0pt;width:453.7pt;z-index:251659264;mso-width-relative:page;mso-height-relative:page;" filled="f" stroked="t" coordsize="21600,21600" o:allowoverlap="f" o:gfxdata="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4Ky1v9YAAAAMAQAADwAAAAAAAAABACAAAAAiAAAAZHJzL2Rv&#10;d25yZXYueG1sUEsBAhQAFAAAAAgAh07iQEQQJ+oDAgAA+gMAAA4AAAAAAAAAAQAgAAAAJQEAAGRy&#10;cy9lMm9Eb2MueG1sUEsFBgAAAAAGAAYAWQEAAJoFAAAAAA==&#10;">
                <v:fill on="f" focussize="0,0"/>
                <v:stroke weight="1.5pt" color="#000000" joinstyle="round"/>
                <v:imagedata o:title=""/>
                <o:lock v:ext="edit" aspectratio="f"/>
                <v:textbox>
                  <w:txbxContent>
                    <w:p w14:paraId="160F51D5">
                      <w:pPr>
                        <w:wordWrap w:val="0"/>
                        <w:rPr>
                          <w:rFonts w:ascii="宋体" w:hAnsi="宋体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CB0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当事人：岳普湖县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诊所</w:t>
      </w:r>
    </w:p>
    <w:p w14:paraId="3DDA1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主体资格证照名称：营业执照</w:t>
      </w:r>
    </w:p>
    <w:p w14:paraId="36359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统一社会信用代码：92653128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X17</w:t>
      </w:r>
    </w:p>
    <w:p w14:paraId="3A4CD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住所（住址）：岳普湖县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层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号</w:t>
      </w:r>
    </w:p>
    <w:p w14:paraId="1C576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法定代表人（负责人、经营者）：古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逊</w:t>
      </w:r>
    </w:p>
    <w:p w14:paraId="1773F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身份证件号码：653128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32X</w:t>
      </w:r>
    </w:p>
    <w:p w14:paraId="1418ECBA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>案件来源及调查经过：</w:t>
      </w:r>
    </w:p>
    <w:p w14:paraId="4CFEC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2024年7月2日，岳普湖县市场监督管理局执法人员刘博辉、徐红莲对岳普湖县</w:t>
      </w:r>
      <w:r>
        <w:rPr>
          <w:rFonts w:hint="eastAsia" w:ascii="仿宋" w:hAnsi="仿宋" w:eastAsia="仿宋" w:cs="仿宋"/>
          <w:spacing w:val="-8"/>
          <w:w w:val="95"/>
          <w:sz w:val="32"/>
          <w:szCs w:val="32"/>
          <w:u w:val="none"/>
          <w:lang w:val="en-US" w:eastAsia="zh-CN"/>
        </w:rPr>
        <w:t>*****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诊所检查时，发现该诊所营业场所货架内摆放有过期的医疗器械，并且与其他医疗器械混放</w:t>
      </w:r>
      <w:bookmarkStart w:id="3" w:name="_GoBack"/>
      <w:bookmarkEnd w:id="3"/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在一起，执法人员对上述医疗器械实施了扣押行政强制措施（岳市监强制〔2024〕060号），详情见财务清单（岳市监物20240702）。</w:t>
      </w:r>
    </w:p>
    <w:p w14:paraId="69936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经调查：发现超过保质期的医疗器械：一次性使用灭菌橡胶外科手套，产品注册证号：豫械注准20192140683，有效期：2022年6月2日-2024年6月1日，库存8袋；“飘安”医用棉球，产品注册证号：豫械注准2018214073，规格：10包/袋，有效期：2022年5月12日-2024年5月20日，库存1袋；一次性使用聚乙烯手套，产品注册证编号：豫械注准2018214073，规格：100只±5/袋，有效期2022年4月26日-2024年4月25日，库存2袋；“華帥”医用输液贴，产品注册证号：赣洪食药监械（准）字2012第1640034号，规格：200片装，有效期至：2017年7月1日，库存3盒；“振丰”医用纱布敷料，产品注册证号：赣械注准20152140234，有效期2022年4月26日-2024年4月25日，库存1袋；“贝诺通”医用纱布敷料，注册证号：赣械注准20152640201，规格：30包/袋，有效期至20191006,库存1袋。</w:t>
      </w:r>
    </w:p>
    <w:p w14:paraId="275A3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以上6种医疗器械已超过有效期限，并摆放在该诊所营业场所药柜中，在对该诊所检查时，也未发现当事人对已经超过有效期的医疗器械进行标记或提示，药店或医疗机构药房都要求设置不合格药品或医疗器械区域，放在合格区的一律视为销售或使用，当事人将过期医疗器械摆放在营业场所药柜中不撤柜、不提示的行为，应当认定为使用过期医疗器械。</w:t>
      </w:r>
    </w:p>
    <w:p w14:paraId="17183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default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当事人无法提供上述过期医疗器械的进货票据以及厂家资质证明，因此执法人员无法确定涉案货值，执法人员在检查时未发现上述过期医疗器械的使用记录，故无违法所得。</w:t>
      </w:r>
    </w:p>
    <w:p w14:paraId="17E07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上述事实，主要有以下证据证明：</w:t>
      </w:r>
    </w:p>
    <w:p w14:paraId="25177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1.营业执照、诊所备案凭证复印件 ，证明当事人的主体资格。       </w:t>
      </w:r>
    </w:p>
    <w:p w14:paraId="2EE83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2.古丽斯坦·吐尔逊身份证复印件，证明当事人的负责人身份。                                    </w:t>
      </w:r>
    </w:p>
    <w:p w14:paraId="20C3C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3.现场检查笔录 ，证明现场检查时的违法行为。</w:t>
      </w:r>
    </w:p>
    <w:p w14:paraId="7196C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4.询问笔录，证明当事人的违法事实。以上笔录和证据均由当事人和证据提供人签名盖章确认。</w:t>
      </w:r>
    </w:p>
    <w:p w14:paraId="329879A0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 xml:space="preserve">当事人陈述、申辩情况，当事人陈述、申辩的采纳情况及理由；行政处罚告知、行政处罚听证告知情况，以及复核、听证过程及意见: </w:t>
      </w:r>
    </w:p>
    <w:p w14:paraId="540B9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本局于2024年7月15日向当事人送达了《行政处罚告知书》岳市监罚告〔2024〕060号，告知当事人本局拟对其进行行政处罚的事实、理由、依据及处罚金额等。同时告知当事人在法定期限内享有陈述、申辩的权利，当事人在法定期限内未进行陈述、申辩。</w:t>
      </w:r>
    </w:p>
    <w:p w14:paraId="2F7EE9F7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>案件性质、自由裁量的事实和理由:</w:t>
      </w:r>
    </w:p>
    <w:p w14:paraId="68F8D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的行为违反了《医疗器械监督管理条例》第五十五条：“医疗器械经营企业、使用单位不得经营、使用未依法注册或者备案、无合格证明文件以及过期、失效、淘汰的医疗器械”的规定，构成使用超过过期医疗器械的违法行为。</w:t>
      </w:r>
    </w:p>
    <w:p w14:paraId="6B699E54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 xml:space="preserve">自由裁量理由等其他需要说明的事项: </w:t>
      </w:r>
    </w:p>
    <w:p w14:paraId="2080A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2024年7月17日，当事人向我局递交了《请求减轻处罚申请书》一份，报告中当事人诚恳地认识到错误，并承诺积极改正。因鉴于当事人积极配合执法人员调查，违法情节较轻，且未造成危害后果，社会危害较小。符合《新疆维吾尔自治区药品监督管理局行政处罚裁量权适用规定》第十七条第一项、第四项“符合下列情形之一的，可以从轻或者减轻行政处罚：（一）违法行为轻微，社会危害性较小的；（四）积极配合药品监督管理部门调查，如实陈述违法事实并动提供证据材料的以及《中华人民共和国行政处罚法》第三十二条第（五）项：“当事人有下列情形之一，应当从轻或者减轻行政处罚：（五）法律、法规、规章规定其他应当从轻或者减轻行政处罚的。”的情形，根据《中华人民共和国行政处罚法》第五条“行政处罚遵循公正、公开的原则。设定和实施行政处罚必须以事实为依据，与违法行为的事实、性质、情节以及社会危害程度相当。第六条：“实施行政处罚，纠正违法行为，应当坚持处罚与教育相结合，教育公民、法人或者其他组织自觉守法”的规定，综合本案的事实和情节综合考量，经我局案审会研究决定，可以减轻处罚。</w:t>
      </w:r>
    </w:p>
    <w:p w14:paraId="1B873DF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76" w:firstLineChars="200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综上，</w:t>
      </w:r>
      <w:r>
        <w:rPr>
          <w:rFonts w:hint="eastAsia" w:ascii="方正仿宋_GBK" w:hAnsi="方正仿宋_GBK" w:eastAsia="方正仿宋_GBK" w:cs="方正仿宋_GBK"/>
          <w:spacing w:val="-8"/>
          <w:w w:val="95"/>
          <w:kern w:val="2"/>
          <w:sz w:val="32"/>
          <w:szCs w:val="32"/>
          <w:lang w:val="en-US" w:eastAsia="zh-CN" w:bidi="ar-SA"/>
        </w:rPr>
        <w:t>依据《医疗器械监督管理条例》第八十六条第一款第三项：“有下列情形之一的，由负责药品监督管理的部门责令改正，没收违法生产经营使用的医疗器械；违法生产经营使用的医疗器械货值金额不足1万元的，并处2万元以上5万元以下罚款；货值金额1万元以上的，并处货值金额5倍以上20倍以下罚款；情节严重的，责令停产停业，直至由原发证部门吊销医疗器械注册证、医疗器械生产许可证、医疗器械经营许可证，对违法单位的法定代表人、主要负责人、直接负责的主管人员和其他责任人员，没收违法行为发生期间自本单位所获收入，并处所获收入30%以上3倍以下罚款，10年内禁止其从事医疗器械生产经营活动：（三）经营、使用无合格证明文件、过期、失效、淘汰的医疗器械，或者使用未依法注册的医疗器械”的规定</w:t>
      </w: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，本局对当事人的违法行为责令改正，并作如下行政处罚: </w:t>
      </w:r>
    </w:p>
    <w:p w14:paraId="303F1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1.没收过期医疗器械（一次性使用灭菌橡胶外科手套8袋；“飘安”医用棉球1袋；一次性使用聚乙烯手套2袋；“華帥”医用输液贴3盒；“振丰”医用纱布敷料1袋；“贝诺通”医用纱布敷料1袋）。</w:t>
      </w:r>
    </w:p>
    <w:p w14:paraId="080F7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2.处2000.00元（贰仟元整）罚款。</w:t>
      </w:r>
    </w:p>
    <w:p w14:paraId="2FE395D0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 xml:space="preserve">行政处罚的履行方式和期限: </w:t>
      </w:r>
    </w:p>
    <w:p w14:paraId="0B7F8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当事人自收到本处罚决定书之日起15日内，将罚款交至岳普湖县财政账户，地址岳普湖县市政大道。当事人逾期不履行行政处罚决定的，依据《中华人民共和国行政处罚法》第七十二条第(一)、(四) 项的规定，本局将依法采取下列措施:(一)到期不缴纳罚款的，每日按罚款数额的百分之三加处罚款，加处罚款额不得超出罚款的数额；(四)依照《中华人民共和国行政强制法》的规定申请人民法院强制执行。</w:t>
      </w:r>
    </w:p>
    <w:p w14:paraId="180ABF29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1" w:firstLineChars="200"/>
        <w:textAlignment w:val="auto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zh-CN"/>
        </w:rPr>
        <w:t>救济途径和期限：</w:t>
      </w:r>
    </w:p>
    <w:p w14:paraId="7638F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>如对本决定不服，可于接到本决定书之日起六日内向岳普湖县人民政府申请行政复议，也可以六个月内依法向岳普湖县人民法院提起行政诉讼。</w:t>
      </w:r>
    </w:p>
    <w:p w14:paraId="09F61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当事人对行政处罚决定不服申请行政复议或者提起行政诉讼的，行政处罚不停止执行。              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 xml:space="preserve"> </w:t>
      </w:r>
    </w:p>
    <w:p w14:paraId="20013B7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right="64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</w:pPr>
    </w:p>
    <w:p w14:paraId="2F61B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</w:p>
    <w:p w14:paraId="1A5F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72" w:firstLineChars="19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岳普湖县市场监督管理局    </w:t>
      </w:r>
    </w:p>
    <w:p w14:paraId="1192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                                          （印 章）         </w:t>
      </w:r>
    </w:p>
    <w:p w14:paraId="4BBE2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  <w:t xml:space="preserve">                                        2024年8月14日    </w:t>
      </w:r>
    </w:p>
    <w:p w14:paraId="0714F0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560" w:lineRule="exact"/>
        <w:ind w:left="28" w:right="16" w:firstLine="678"/>
        <w:jc w:val="left"/>
        <w:textAlignment w:val="baseline"/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  <w:t xml:space="preserve">      </w:t>
      </w:r>
    </w:p>
    <w:p w14:paraId="39B6E057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56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 w14:paraId="3547EDF5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56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 w14:paraId="1DF834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560" w:lineRule="exact"/>
        <w:ind w:right="16"/>
        <w:jc w:val="left"/>
        <w:textAlignment w:val="baseline"/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</w:pPr>
    </w:p>
    <w:p w14:paraId="179E72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560" w:lineRule="exact"/>
        <w:ind w:right="16"/>
        <w:jc w:val="left"/>
        <w:textAlignment w:val="baseline"/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</w:pPr>
    </w:p>
    <w:p w14:paraId="38195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560" w:lineRule="exact"/>
        <w:ind w:right="16"/>
        <w:jc w:val="left"/>
        <w:textAlignment w:val="baseline"/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</w:pPr>
    </w:p>
    <w:p w14:paraId="4522A6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560" w:lineRule="exact"/>
        <w:ind w:right="16"/>
        <w:jc w:val="left"/>
        <w:textAlignment w:val="baseline"/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</w:pPr>
    </w:p>
    <w:p w14:paraId="51B5A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</w:p>
    <w:p w14:paraId="75D94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</w:p>
    <w:p w14:paraId="61A70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</w:p>
    <w:p w14:paraId="5F380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仿宋_GBK" w:hAnsi="方正仿宋_GBK" w:eastAsia="方正仿宋_GBK" w:cs="方正仿宋_GBK"/>
          <w:spacing w:val="-8"/>
          <w:w w:val="95"/>
          <w:sz w:val="32"/>
          <w:szCs w:val="32"/>
          <w:lang w:val="en-US" w:eastAsia="zh-CN"/>
        </w:rPr>
      </w:pPr>
    </w:p>
    <w:p w14:paraId="66BFCD8A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center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u w:val="single"/>
          <w:lang w:val="en-US" w:eastAsia="zh-CN"/>
        </w:rPr>
        <w:t>（市场监督管理部门将依法向社会公示本行政处罚决定信息）</w:t>
      </w:r>
    </w:p>
    <w:p w14:paraId="1063A136">
      <w:pPr>
        <w:keepNext w:val="0"/>
        <w:keepLines w:val="0"/>
        <w:pageBreakBefore w:val="0"/>
        <w:widowControl w:val="0"/>
        <w:tabs>
          <w:tab w:val="left" w:pos="3730"/>
        </w:tabs>
        <w:kinsoku/>
        <w:wordWrap/>
        <w:overflowPunct/>
        <w:topLinePunct w:val="0"/>
        <w:autoSpaceDE/>
        <w:autoSpaceDN/>
        <w:bidi w:val="0"/>
        <w:spacing w:before="189" w:line="540" w:lineRule="exact"/>
        <w:ind w:right="16"/>
        <w:jc w:val="center"/>
        <w:textAlignment w:val="auto"/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lang w:val="en-US" w:eastAsia="zh-CN"/>
        </w:rPr>
        <w:t>本文书一式两份，一份送达，一份归档。</w:t>
      </w:r>
    </w:p>
    <w:sectPr>
      <w:pgSz w:w="11906" w:h="16838"/>
      <w:pgMar w:top="2098" w:right="1531" w:bottom="2098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298F387A-150F-41FC-B790-E3E8C9956094}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AB99C9E-1989-48F4-8EFE-849F8EB70046}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  <w:embedRegular r:id="rId3" w:fontKey="{967DA15E-4784-4B05-A8C9-4BD7CDE898AA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D61C1798-7FC6-4BAD-877E-086CCF28F75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6AD607E-02BB-407C-8106-3D12D10456C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EC7FDA38-7D5A-4AA5-8581-3B1291D1991E}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5MzFhOTY2NzA3ZTg2NzllNzA2ODkzZGU0MTRlNmYifQ=="/>
  </w:docVars>
  <w:rsids>
    <w:rsidRoot w:val="3D443F4B"/>
    <w:rsid w:val="00C03AF4"/>
    <w:rsid w:val="01C02615"/>
    <w:rsid w:val="0C3E09FF"/>
    <w:rsid w:val="10FD13EE"/>
    <w:rsid w:val="16CF6005"/>
    <w:rsid w:val="17AB217C"/>
    <w:rsid w:val="1CA37580"/>
    <w:rsid w:val="21E022E1"/>
    <w:rsid w:val="23226FDE"/>
    <w:rsid w:val="23407620"/>
    <w:rsid w:val="275E6C31"/>
    <w:rsid w:val="281227CC"/>
    <w:rsid w:val="30FB5D8D"/>
    <w:rsid w:val="35BA7826"/>
    <w:rsid w:val="3C3D58C9"/>
    <w:rsid w:val="3D2A055C"/>
    <w:rsid w:val="3D315030"/>
    <w:rsid w:val="3D443F4B"/>
    <w:rsid w:val="3E094556"/>
    <w:rsid w:val="3E944A56"/>
    <w:rsid w:val="447B7B56"/>
    <w:rsid w:val="48766E1B"/>
    <w:rsid w:val="4E6C5895"/>
    <w:rsid w:val="4F46156A"/>
    <w:rsid w:val="4FF21617"/>
    <w:rsid w:val="581F1261"/>
    <w:rsid w:val="5B514BC9"/>
    <w:rsid w:val="5C4332D4"/>
    <w:rsid w:val="649F3E45"/>
    <w:rsid w:val="66CA7215"/>
    <w:rsid w:val="68065445"/>
    <w:rsid w:val="69026752"/>
    <w:rsid w:val="6CD66FB0"/>
    <w:rsid w:val="6DC67D29"/>
    <w:rsid w:val="70350E33"/>
    <w:rsid w:val="76E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2542</Words>
  <Characters>2740</Characters>
  <Lines>0</Lines>
  <Paragraphs>0</Paragraphs>
  <TotalTime>1</TotalTime>
  <ScaleCrop>false</ScaleCrop>
  <LinksUpToDate>false</LinksUpToDate>
  <CharactersWithSpaces>2911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2022-04-30T03:25:00Z</dcterms:created>
  <dc:creator>keyumjan</dc:creator>
  <cp:lastModifiedBy>Administrator</cp:lastModifiedBy>
  <cp:lastPrinted>2024-08-15T02:57:00Z</cp:lastPrinted>
  <dcterms:modified xsi:type="dcterms:W3CDTF">2024-09-26T05:25:04Z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86D6E05835254F2BB28832344CF2B5E0</vt:lpwstr>
  </property>
</Properties>
</file>