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DE0E5">
      <w:pPr>
        <w:keepNext w:val="0"/>
        <w:keepLines w:val="0"/>
        <w:pageBreakBefore w:val="0"/>
        <w:wordWrap/>
        <w:overflowPunct/>
        <w:topLinePunct w:val="0"/>
        <w:bidi w:val="0"/>
        <w:spacing w:line="560" w:lineRule="exact"/>
        <w:jc w:val="center"/>
        <w:outlineLvl w:val="0"/>
        <w:rPr>
          <w:rFonts w:hint="eastAsia" w:ascii="方正小标宋简体" w:hAnsi="方正小标宋简体" w:eastAsia="方正小标宋简体" w:cs="方正小标宋简体"/>
          <w:sz w:val="44"/>
          <w:szCs w:val="44"/>
        </w:rPr>
      </w:pPr>
      <w:bookmarkStart w:id="0" w:name="_Toc29056"/>
      <w:bookmarkStart w:id="1" w:name="_Toc76683318"/>
      <w:r>
        <w:rPr>
          <w:rFonts w:hint="eastAsia" w:ascii="方正小标宋简体" w:hAnsi="方正小标宋简体" w:eastAsia="方正小标宋简体" w:cs="方正小标宋简体"/>
          <w:bCs/>
          <w:sz w:val="44"/>
          <w:szCs w:val="44"/>
          <w:u w:val="none"/>
          <w:lang w:val="en-US" w:eastAsia="zh-CN"/>
        </w:rPr>
        <w:t>岳普湖县</w:t>
      </w:r>
      <w:r>
        <w:rPr>
          <w:rFonts w:hint="eastAsia" w:ascii="方正小标宋简体" w:hAnsi="方正小标宋简体" w:eastAsia="方正小标宋简体" w:cs="方正小标宋简体"/>
          <w:bCs/>
          <w:sz w:val="44"/>
          <w:szCs w:val="44"/>
        </w:rPr>
        <w:t>市场监督管理局</w:t>
      </w:r>
      <w:bookmarkEnd w:id="0"/>
      <w:bookmarkEnd w:id="1"/>
    </w:p>
    <w:p w14:paraId="2252FE51">
      <w:pPr>
        <w:keepNext w:val="0"/>
        <w:keepLines w:val="0"/>
        <w:pageBreakBefore w:val="0"/>
        <w:wordWrap/>
        <w:overflowPunct/>
        <w:topLinePunct w:val="0"/>
        <w:bidi w:val="0"/>
        <w:spacing w:line="560" w:lineRule="exact"/>
        <w:jc w:val="center"/>
        <w:outlineLvl w:val="0"/>
        <w:rPr>
          <w:rFonts w:ascii="Times New Roman" w:hAnsi="Times New Roman" w:eastAsia="方正小标宋简体" w:cs="Mongolian Baiti"/>
          <w:bCs/>
          <w:color w:val="000000"/>
          <w:sz w:val="44"/>
          <w:szCs w:val="44"/>
        </w:rPr>
      </w:pPr>
      <w:bookmarkStart w:id="2" w:name="_Toc76683364"/>
      <w:r>
        <w:rPr>
          <w:rFonts w:ascii="Times New Roman" w:hAnsi="Mongolian Baiti" w:eastAsia="方正小标宋简体" w:cs="Mongolian Baiti"/>
          <w:bCs/>
          <w:color w:val="000000"/>
          <w:sz w:val="44"/>
          <w:szCs w:val="44"/>
        </w:rPr>
        <w:t>行政处罚决定书</w:t>
      </w:r>
      <w:bookmarkEnd w:id="2"/>
    </w:p>
    <w:p w14:paraId="3E3D4751">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岳市监罚字〔2024〕085号</w:t>
      </w:r>
    </w:p>
    <w:p w14:paraId="4A9D14C2">
      <w:pPr>
        <w:keepNext w:val="0"/>
        <w:keepLines w:val="0"/>
        <w:pageBreakBefore w:val="0"/>
        <w:widowControl/>
        <w:wordWrap/>
        <w:overflowPunct/>
        <w:topLinePunct w:val="0"/>
        <w:bidi w:val="0"/>
        <w:snapToGrid w:val="0"/>
        <w:spacing w:line="560" w:lineRule="exact"/>
        <w:ind w:right="55" w:firstLine="5440" w:firstLineChars="1700"/>
        <w:rPr>
          <w:rFonts w:hint="eastAsia" w:ascii="Times New Roman" w:hAnsi="Times New Roman" w:eastAsia="仿宋_GB2312" w:cs="Mongolian Baiti"/>
          <w:color w:val="000000"/>
          <w:sz w:val="32"/>
          <w:szCs w:val="32"/>
        </w:rPr>
      </w:pPr>
      <w:r>
        <w:rPr>
          <w:rFonts w:hint="eastAsia" w:ascii="Times New Roman" w:hAnsi="Times New Roman" w:eastAsia="仿宋_GB2312" w:cs="Mongolian Baiti"/>
          <w:color w:val="000000"/>
          <w:sz w:val="32"/>
          <w:szCs w:val="32"/>
        </w:rPr>
        <mc:AlternateContent>
          <mc:Choice Requires="wps">
            <w:drawing>
              <wp:anchor distT="0" distB="0" distL="114300" distR="114300" simplePos="0" relativeHeight="251659264" behindDoc="0" locked="0" layoutInCell="1" allowOverlap="0">
                <wp:simplePos x="0" y="0"/>
                <wp:positionH relativeFrom="column">
                  <wp:posOffset>-38100</wp:posOffset>
                </wp:positionH>
                <wp:positionV relativeFrom="paragraph">
                  <wp:posOffset>20802600</wp:posOffset>
                </wp:positionV>
                <wp:extent cx="5761990" cy="0"/>
                <wp:effectExtent l="0" t="9525" r="3810" b="15875"/>
                <wp:wrapNone/>
                <wp:docPr id="11" name="直接箭头连接符 11"/>
                <wp:cNvGraphicFramePr/>
                <a:graphic xmlns:a="http://schemas.openxmlformats.org/drawingml/2006/main">
                  <a:graphicData uri="http://schemas.microsoft.com/office/word/2010/wordprocessingShape">
                    <wps:wsp>
                      <wps:cNvCnPr/>
                      <wps:spPr>
                        <a:xfrm>
                          <a:off x="0" y="0"/>
                          <a:ext cx="5761990" cy="0"/>
                        </a:xfrm>
                        <a:prstGeom prst="straightConnector1">
                          <a:avLst/>
                        </a:prstGeom>
                        <a:ln w="19050" cap="flat" cmpd="sng">
                          <a:solidFill>
                            <a:srgbClr val="000000"/>
                          </a:solidFill>
                          <a:prstDash val="solid"/>
                          <a:headEnd type="none" w="med" len="med"/>
                          <a:tailEnd type="none" w="med" len="med"/>
                        </a:ln>
                      </wps:spPr>
                      <wps:txbx>
                        <w:txbxContent>
                          <w:p w14:paraId="4F8AC6F9">
                            <w:pPr>
                              <w:wordWrap w:val="0"/>
                              <w:rPr>
                                <w:rFonts w:ascii="宋体" w:hAnsi="宋体"/>
                                <w:sz w:val="20"/>
                                <w:szCs w:val="20"/>
                              </w:rPr>
                            </w:pPr>
                          </w:p>
                        </w:txbxContent>
                      </wps:txbx>
                      <wps:bodyPr/>
                    </wps:wsp>
                  </a:graphicData>
                </a:graphic>
              </wp:anchor>
            </w:drawing>
          </mc:Choice>
          <mc:Fallback>
            <w:pict>
              <v:shape id="_x0000_s1026" o:spid="_x0000_s1026" o:spt="32" type="#_x0000_t32" style="position:absolute;left:0pt;margin-left:-3pt;margin-top:1638pt;height:0pt;width:453.7pt;z-index:251659264;mso-width-relative:page;mso-height-relative:page;" filled="f" stroked="t" coordsize="21600,21600" o:allowoverlap="f" o:gfxdata="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4Ky1v9YAAAAMAQAADwAAAAAAAAABACAAAAAiAAAAZHJzL2Rv&#10;d25yZXYueG1sUEsBAhQAFAAAAAgAh07iQEQQJ+oDAgAA+gMAAA4AAAAAAAAAAQAgAAAAJQEAAGRy&#10;cy9lMm9Eb2MueG1sUEsFBgAAAAAGAAYAWQEAAJoFAAAAAA==&#10;">
                <v:fill on="f" focussize="0,0"/>
                <v:stroke weight="1.5pt" color="#000000" joinstyle="round"/>
                <v:imagedata o:title=""/>
                <o:lock v:ext="edit" aspectratio="f"/>
                <v:textbox>
                  <w:txbxContent>
                    <w:p w14:paraId="4F8AC6F9">
                      <w:pPr>
                        <w:wordWrap w:val="0"/>
                        <w:rPr>
                          <w:rFonts w:ascii="宋体" w:hAnsi="宋体"/>
                          <w:sz w:val="20"/>
                          <w:szCs w:val="20"/>
                        </w:rPr>
                      </w:pPr>
                    </w:p>
                  </w:txbxContent>
                </v:textbox>
              </v:shape>
            </w:pict>
          </mc:Fallback>
        </mc:AlternateContent>
      </w:r>
    </w:p>
    <w:p w14:paraId="0FA13261">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化妆品店</w:t>
      </w:r>
    </w:p>
    <w:p w14:paraId="659B3F91">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主体资格证照名称：营业执照</w:t>
      </w:r>
    </w:p>
    <w:p w14:paraId="313643B7">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统一社会信用代码：92653128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86E</w:t>
      </w:r>
    </w:p>
    <w:p w14:paraId="331175CF">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住所（住址）：岳普湖县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路</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号</w:t>
      </w:r>
    </w:p>
    <w:p w14:paraId="2B054FFE">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法定代表人（负责人、经营者）：阿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尔</w:t>
      </w:r>
    </w:p>
    <w:p w14:paraId="5F7D5018">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身份证件号码：653128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0029</w:t>
      </w:r>
    </w:p>
    <w:p w14:paraId="1F146EE0">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案件来源及调查经过：</w:t>
      </w:r>
    </w:p>
    <w:p w14:paraId="3CAEB53D">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8月16日，岳普湖县市场监管局执法人员刘博辉、徐红莲在你店检查时，发现你店营业场所内摆放的5款化妆品（1.玩色倾芯柔雾唇膏，3.8g/盒,标注限用日期2021年12月17日，进货价14元/盒，销售价25元/盒，共4盒；2.花漾双面俏润唇膏，4g/盒，标注限用日期2022年4月23日，进货价14元/盒，销售价25元/盒，共12盒；3.魔镜倾色暮光口红，3.8g/盒，标注限用日期2023年5月3日，进货价14元/盒，销售价25元/盒，共13盒；4.白天鹅柔雾口红，3.8g/盒，标注限用日期2023年3月28日，进货价14元/盒，销售价25元/盒，共13盒；5.魅师无痕粉底膏，19g/盒，标注限用日期：2024年8月1日，进货价17元/盒，销售价30元/盒，共6盒）已超过限用日期，你店的行为涉嫌违反了《化妆品监督管理条例》第三十九条，执法人员立即向分管领导报告，经分管领导批准，立案调查，并对涉案化妆品采取扣押行政强制措施（详情见岳市监强措〔2024〕085号）。</w:t>
      </w:r>
    </w:p>
    <w:p w14:paraId="74D33DE8">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经调查：该店于2005年3月2日办理营业执照开始经营，2024年7月2日，日常检查中发现上述5款化妆品均以超过使用期限，</w:t>
      </w:r>
      <w:r>
        <w:rPr>
          <w:rFonts w:hint="default" w:ascii="方正仿宋_GBK" w:hAnsi="方正仿宋_GBK" w:eastAsia="方正仿宋_GBK" w:cs="方正仿宋_GBK"/>
          <w:spacing w:val="-8"/>
          <w:w w:val="95"/>
          <w:sz w:val="32"/>
          <w:szCs w:val="32"/>
          <w:lang w:val="en-US" w:eastAsia="zh-CN"/>
        </w:rPr>
        <w:t>当事人</w:t>
      </w:r>
      <w:r>
        <w:rPr>
          <w:rFonts w:hint="eastAsia" w:ascii="方正仿宋_GBK" w:hAnsi="方正仿宋_GBK" w:eastAsia="方正仿宋_GBK" w:cs="方正仿宋_GBK"/>
          <w:spacing w:val="-8"/>
          <w:w w:val="95"/>
          <w:sz w:val="32"/>
          <w:szCs w:val="32"/>
          <w:lang w:val="en-US" w:eastAsia="zh-CN"/>
        </w:rPr>
        <w:t>现场对</w:t>
      </w:r>
      <w:r>
        <w:rPr>
          <w:rFonts w:hint="default" w:ascii="方正仿宋_GBK" w:hAnsi="方正仿宋_GBK" w:eastAsia="方正仿宋_GBK" w:cs="方正仿宋_GBK"/>
          <w:spacing w:val="-8"/>
          <w:w w:val="95"/>
          <w:sz w:val="32"/>
          <w:szCs w:val="32"/>
          <w:lang w:val="en-US" w:eastAsia="zh-CN"/>
        </w:rPr>
        <w:t>购进上述</w:t>
      </w:r>
      <w:r>
        <w:rPr>
          <w:rFonts w:hint="eastAsia" w:ascii="方正仿宋_GBK" w:hAnsi="方正仿宋_GBK" w:eastAsia="方正仿宋_GBK" w:cs="方正仿宋_GBK"/>
          <w:spacing w:val="-8"/>
          <w:w w:val="95"/>
          <w:sz w:val="32"/>
          <w:szCs w:val="32"/>
          <w:lang w:val="en-US" w:eastAsia="zh-CN"/>
        </w:rPr>
        <w:t>化妆品</w:t>
      </w:r>
      <w:r>
        <w:rPr>
          <w:rFonts w:hint="default" w:ascii="方正仿宋_GBK" w:hAnsi="方正仿宋_GBK" w:eastAsia="方正仿宋_GBK" w:cs="方正仿宋_GBK"/>
          <w:spacing w:val="-8"/>
          <w:w w:val="95"/>
          <w:sz w:val="32"/>
          <w:szCs w:val="32"/>
          <w:lang w:val="en-US" w:eastAsia="zh-CN"/>
        </w:rPr>
        <w:t>的具体进货日期</w:t>
      </w:r>
      <w:r>
        <w:rPr>
          <w:rFonts w:hint="eastAsia" w:ascii="方正仿宋_GBK" w:hAnsi="方正仿宋_GBK" w:eastAsia="方正仿宋_GBK" w:cs="方正仿宋_GBK"/>
          <w:spacing w:val="-8"/>
          <w:w w:val="95"/>
          <w:sz w:val="32"/>
          <w:szCs w:val="32"/>
          <w:lang w:val="en-US" w:eastAsia="zh-CN"/>
        </w:rPr>
        <w:t>和进货发票无法提供，执法人员</w:t>
      </w:r>
      <w:r>
        <w:rPr>
          <w:rFonts w:hint="default" w:ascii="方正仿宋_GBK" w:hAnsi="方正仿宋_GBK" w:eastAsia="方正仿宋_GBK" w:cs="方正仿宋_GBK"/>
          <w:spacing w:val="-8"/>
          <w:w w:val="95"/>
          <w:sz w:val="32"/>
          <w:szCs w:val="32"/>
          <w:lang w:val="en-US" w:eastAsia="zh-CN"/>
        </w:rPr>
        <w:t>未发现上述超保质期</w:t>
      </w:r>
      <w:r>
        <w:rPr>
          <w:rFonts w:hint="eastAsia" w:ascii="方正仿宋_GBK" w:hAnsi="方正仿宋_GBK" w:eastAsia="方正仿宋_GBK" w:cs="方正仿宋_GBK"/>
          <w:spacing w:val="-8"/>
          <w:w w:val="95"/>
          <w:sz w:val="32"/>
          <w:szCs w:val="32"/>
          <w:lang w:val="en-US" w:eastAsia="zh-CN"/>
        </w:rPr>
        <w:t>化妆品</w:t>
      </w:r>
      <w:r>
        <w:rPr>
          <w:rFonts w:hint="default" w:ascii="方正仿宋_GBK" w:hAnsi="方正仿宋_GBK" w:eastAsia="方正仿宋_GBK" w:cs="方正仿宋_GBK"/>
          <w:spacing w:val="-8"/>
          <w:w w:val="95"/>
          <w:sz w:val="32"/>
          <w:szCs w:val="32"/>
          <w:lang w:val="en-US" w:eastAsia="zh-CN"/>
        </w:rPr>
        <w:t>销售</w:t>
      </w:r>
      <w:r>
        <w:rPr>
          <w:rFonts w:hint="eastAsia" w:ascii="方正仿宋_GBK" w:hAnsi="方正仿宋_GBK" w:eastAsia="方正仿宋_GBK" w:cs="方正仿宋_GBK"/>
          <w:spacing w:val="-8"/>
          <w:w w:val="95"/>
          <w:sz w:val="32"/>
          <w:szCs w:val="32"/>
          <w:lang w:val="en-US" w:eastAsia="zh-CN"/>
        </w:rPr>
        <w:t>和销售</w:t>
      </w:r>
      <w:r>
        <w:rPr>
          <w:rFonts w:hint="default" w:ascii="方正仿宋_GBK" w:hAnsi="方正仿宋_GBK" w:eastAsia="方正仿宋_GBK" w:cs="方正仿宋_GBK"/>
          <w:spacing w:val="-8"/>
          <w:w w:val="95"/>
          <w:sz w:val="32"/>
          <w:szCs w:val="32"/>
          <w:lang w:val="en-US" w:eastAsia="zh-CN"/>
        </w:rPr>
        <w:t>记录。</w:t>
      </w:r>
    </w:p>
    <w:p w14:paraId="27D468E4">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default" w:ascii="方正仿宋_GBK" w:hAnsi="方正仿宋_GBK" w:eastAsia="方正仿宋_GBK" w:cs="方正仿宋_GBK"/>
          <w:spacing w:val="-8"/>
          <w:w w:val="95"/>
          <w:sz w:val="32"/>
          <w:szCs w:val="32"/>
          <w:lang w:val="en-US" w:eastAsia="zh-CN"/>
        </w:rPr>
        <w:t>当事人销售超保质期</w:t>
      </w:r>
      <w:r>
        <w:rPr>
          <w:rFonts w:hint="eastAsia" w:ascii="方正仿宋_GBK" w:hAnsi="方正仿宋_GBK" w:eastAsia="方正仿宋_GBK" w:cs="方正仿宋_GBK"/>
          <w:spacing w:val="-8"/>
          <w:w w:val="95"/>
          <w:sz w:val="32"/>
          <w:szCs w:val="32"/>
          <w:lang w:val="en-US" w:eastAsia="zh-CN"/>
        </w:rPr>
        <w:t>化妆品货值4盒*14元+14元*12盒+14元*13盒+14元*13盒+17元*6盒</w:t>
      </w:r>
      <w:r>
        <w:rPr>
          <w:rFonts w:hint="default" w:ascii="方正仿宋_GBK" w:hAnsi="方正仿宋_GBK" w:eastAsia="方正仿宋_GBK" w:cs="方正仿宋_GBK"/>
          <w:spacing w:val="-8"/>
          <w:w w:val="95"/>
          <w:sz w:val="32"/>
          <w:szCs w:val="32"/>
          <w:lang w:val="en-US" w:eastAsia="zh-CN"/>
        </w:rPr>
        <w:t>=</w:t>
      </w:r>
      <w:r>
        <w:rPr>
          <w:rFonts w:hint="eastAsia" w:ascii="方正仿宋_GBK" w:hAnsi="方正仿宋_GBK" w:eastAsia="方正仿宋_GBK" w:cs="方正仿宋_GBK"/>
          <w:spacing w:val="-8"/>
          <w:w w:val="95"/>
          <w:sz w:val="32"/>
          <w:szCs w:val="32"/>
          <w:lang w:val="en-US" w:eastAsia="zh-CN"/>
        </w:rPr>
        <w:t>690</w:t>
      </w:r>
      <w:r>
        <w:rPr>
          <w:rFonts w:hint="default" w:ascii="方正仿宋_GBK" w:hAnsi="方正仿宋_GBK" w:eastAsia="方正仿宋_GBK" w:cs="方正仿宋_GBK"/>
          <w:spacing w:val="-8"/>
          <w:w w:val="95"/>
          <w:sz w:val="32"/>
          <w:szCs w:val="32"/>
          <w:lang w:val="en-US" w:eastAsia="zh-CN"/>
        </w:rPr>
        <w:t>元，违法所得无法计算。</w:t>
      </w:r>
    </w:p>
    <w:p w14:paraId="78F4EDFB">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上述事实，主要有以下证据证明：</w:t>
      </w:r>
    </w:p>
    <w:p w14:paraId="1AE1EA01">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1.岳普湖县阿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化妆品店营业执照复印件，证明当事人的主体资格。</w:t>
      </w:r>
    </w:p>
    <w:p w14:paraId="1060C03E">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2.当事人阿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尔身份证复印件，证明当事人的负责人身份。</w:t>
      </w:r>
    </w:p>
    <w:p w14:paraId="08306791">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3.现场检查笔录、财务清单，证明现场检查时的违法行为。</w:t>
      </w:r>
    </w:p>
    <w:p w14:paraId="7245C57F">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4.询问笔录，证明当事人的违法事实。</w:t>
      </w:r>
    </w:p>
    <w:p w14:paraId="47EB82C0">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当事人陈述、申辩情况，当事人陈述、申辩的采纳情况及理由；行政处罚告知、行政处罚听证告知情况，以及复核、听证过程及意见: </w:t>
      </w:r>
    </w:p>
    <w:p w14:paraId="2BE82395">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本局于2024年8月26日向当事人送达了《行政处罚告知书》岳市监罚告字〔2024〕085号，告知当事人本局拟对其进行行政处罚的事实、理由、依据及处罚金额等。同时告知当事人在法定期限内享有陈述、申辩的权利，当事人在法定期限内未进行陈述、申辩。</w:t>
      </w:r>
    </w:p>
    <w:p w14:paraId="5996E8C1">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案件性质、自由裁量的事实和理由:</w:t>
      </w:r>
    </w:p>
    <w:p w14:paraId="798C2C34">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的行为违反了《化妆品监督管理条例》第三十九条:“化妆品生产经营者应当依照有关法律、法规的规定和化妆品标签标示的要求贮存、运输化妆品，定期检查并及时处理变质或者超过使用期限的化妆品。”的规定，构成经营超过使用期限的化妆品的违法行为。</w:t>
      </w:r>
    </w:p>
    <w:p w14:paraId="44B7C09B">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自由裁量理由等其他需要说明的事项: </w:t>
      </w:r>
    </w:p>
    <w:p w14:paraId="1D1E9DAD">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8月29日，当事人向我局递交了《减免处罚申请》和病例一份，报告中当事人诚恳地认识到错误，并承诺积极改正，因系你初次违法，个人因病家庭开销大，在本案中能积极配合我局办案人员刘博辉、徐红莲调查，如实陈述违法事实并主动提供相关材料，已认识到涉嫌违法行为所带来的危害，主观态度较为积极，符合《中华人民共和国行政处罚法》第三十二条第(一)项:“(一)主动消除或者减轻违法行为危害后果的:”及《市场监管总局关于规范市场监督管理行政处罚裁量权的指导意见》(七)行政处罚裁量情形:"3.有下列情形之一的，可以依法从轻或者减轻行政处罚:(1)积极配合市场监管部门调查，如实陈述违法事实并主动提供证据材料的；”的规定，经局案审会讨论决定对当事人给予减轻行政处罚。</w:t>
      </w:r>
    </w:p>
    <w:p w14:paraId="450409DD">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综上，依据《化妆品监督管理条例》第六十条第五项“有下列情形之一的，由负责药品监督管理部门没收违法所得、违法生产经营的化妆品和专门用于违法生产经营的原料、包装材料、工具、设备等物品；违法生产经营的化妆品货值金额不足1万元的，并处1万元以上5万元以下罚款；货值金额1万元以上的，并处货值金额5倍以上20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3倍以下罚款，10年内禁止其从事化妆品生产经营活动；构成犯罪的，依法追究刑事责任:(五)化妆品负责人擅自配制化妆品，或者经营变质、超过使用期限的化妆品；”的规定，对你店的违法行为责令改正，并作如下行政处罚: </w:t>
      </w:r>
    </w:p>
    <w:p w14:paraId="42CE7DFC">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576" w:firstLineChars="200"/>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一、没收涉案超过使用期限的化妆品（48盒）。</w:t>
      </w:r>
    </w:p>
    <w:p w14:paraId="2CEE9CF2">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576" w:firstLineChars="200"/>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二、处罚款1000.00元(壹仟元整)。</w:t>
      </w:r>
    </w:p>
    <w:p w14:paraId="57E00342">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行政处罚的履行方式和期限: </w:t>
      </w:r>
    </w:p>
    <w:p w14:paraId="69A2D5C7">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当事人自收到本处罚决定书之日起15日内，将罚款交至岳普湖县财政账户，地址岳普湖县市政大道。当事人逾期不履行行政处罚决定的，依据《中华人民共和国行政处罚法》第七十二条第(一)、(四) 项的规定，本局将依法采取下列措施:(一)到期不缴纳罚款的，每日按罚款数额的百分之三加处罚款，加处罚款额不得超出罚款的数额；(四)依照《中华人民共和国行政强制法》的规定申请人民法院强制执行。</w:t>
      </w:r>
    </w:p>
    <w:p w14:paraId="59C17497">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救济途径和期限：</w:t>
      </w:r>
    </w:p>
    <w:p w14:paraId="4708C6FB">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如对本决定不服，可于接到本决定书之日起六日内向岳普湖县人民政府申请行政复议，也可以六个月内依法向岳普湖县人民法院提起行政诉讼。</w:t>
      </w:r>
    </w:p>
    <w:p w14:paraId="0FE9A79D">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Times New Roman" w:hAnsi="Times New Roman" w:eastAsia="仿宋_GB2312" w:cs="仿宋"/>
          <w:sz w:val="32"/>
          <w:szCs w:val="32"/>
          <w:u w:val="none"/>
          <w:lang w:val="en-US" w:eastAsia="zh-CN"/>
        </w:rPr>
      </w:pPr>
      <w:r>
        <w:rPr>
          <w:rFonts w:hint="eastAsia" w:ascii="方正仿宋_GBK" w:hAnsi="方正仿宋_GBK" w:eastAsia="方正仿宋_GBK" w:cs="方正仿宋_GBK"/>
          <w:spacing w:val="-8"/>
          <w:w w:val="95"/>
          <w:sz w:val="32"/>
          <w:szCs w:val="32"/>
          <w:lang w:val="en-US" w:eastAsia="zh-CN"/>
        </w:rPr>
        <w:t xml:space="preserve">当事人对行政处罚决定不服申请行政复议或者提起行政诉讼的，行政处罚不停止执行。              </w:t>
      </w:r>
      <w:r>
        <w:rPr>
          <w:rFonts w:hint="eastAsia" w:ascii="Times New Roman" w:hAnsi="Times New Roman" w:eastAsia="仿宋_GB2312" w:cs="仿宋"/>
          <w:sz w:val="32"/>
          <w:szCs w:val="32"/>
          <w:u w:val="none"/>
          <w:lang w:val="en-US" w:eastAsia="zh-CN"/>
        </w:rPr>
        <w:t xml:space="preserve"> </w:t>
      </w:r>
    </w:p>
    <w:p w14:paraId="657F35C9">
      <w:pPr>
        <w:keepNext w:val="0"/>
        <w:keepLines w:val="0"/>
        <w:pageBreakBefore w:val="0"/>
        <w:wordWrap/>
        <w:overflowPunct/>
        <w:topLinePunct w:val="0"/>
        <w:bidi w:val="0"/>
        <w:spacing w:line="560" w:lineRule="exact"/>
        <w:ind w:right="640"/>
        <w:jc w:val="both"/>
        <w:rPr>
          <w:rFonts w:hint="eastAsia" w:ascii="Times New Roman" w:hAnsi="Times New Roman" w:eastAsia="仿宋_GB2312" w:cs="仿宋_GB2312"/>
          <w:color w:val="000000"/>
          <w:sz w:val="32"/>
          <w:szCs w:val="32"/>
          <w:lang w:val="en-US" w:eastAsia="zh-CN"/>
        </w:rPr>
      </w:pPr>
    </w:p>
    <w:p w14:paraId="72F765D2">
      <w:pPr>
        <w:keepNext w:val="0"/>
        <w:keepLines w:val="0"/>
        <w:pageBreakBefore w:val="0"/>
        <w:widowControl w:val="0"/>
        <w:kinsoku/>
        <w:wordWrap/>
        <w:overflowPunct/>
        <w:topLinePunct w:val="0"/>
        <w:autoSpaceDE/>
        <w:autoSpaceDN/>
        <w:bidi w:val="0"/>
        <w:adjustRightInd/>
        <w:snapToGrid/>
        <w:spacing w:line="520" w:lineRule="exact"/>
        <w:ind w:firstLine="5472" w:firstLineChars="19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岳普湖县市场监督管理局    </w:t>
      </w:r>
    </w:p>
    <w:p w14:paraId="1A723F49">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（印 章）         </w:t>
      </w:r>
    </w:p>
    <w:p w14:paraId="34D9A2BA">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2024年9月6日</w:t>
      </w:r>
    </w:p>
    <w:p w14:paraId="085ABEB7">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w:t>
      </w:r>
    </w:p>
    <w:p w14:paraId="0AEF2E8C">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bookmarkStart w:id="3" w:name="_GoBack"/>
      <w:bookmarkEnd w:id="3"/>
    </w:p>
    <w:p w14:paraId="1FCF564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市场监督管理部门将依法向社会公示本行政处罚决定信息</w:t>
      </w:r>
    </w:p>
    <w:p w14:paraId="3511DF8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9" name="直接连接符 9"/>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Mj42sb2AQAA5wMAAA4AAAAAAAAAAQAgAAAAIwEAAGRycy9lMm9Eb2MueG1sUEsF&#10;BgAAAAAGAAYAWQEAAIsFAAAAAA==&#10;">
                <v:fill on="f" focussize="0,0"/>
                <v:stroke weight="1.25pt" color="#000000" joinstyle="round"/>
                <v:imagedata o:title=""/>
                <o:lock v:ext="edit" aspectratio="f"/>
              </v:line>
            </w:pict>
          </mc:Fallback>
        </mc:AlternateContent>
      </w:r>
      <w:r>
        <w:rPr>
          <w:rFonts w:hint="eastAsia" w:ascii="方正仿宋_GBK" w:hAnsi="方正仿宋_GBK" w:eastAsia="方正仿宋_GBK" w:cs="方正仿宋_GBK"/>
          <w:spacing w:val="-8"/>
          <w:w w:val="95"/>
          <w:sz w:val="32"/>
          <w:szCs w:val="32"/>
          <w:lang w:val="en-US" w:eastAsia="zh-CN"/>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0" name="直接连接符 10"/>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zkdcAAAAKAQAADwAAAAAAAAABACAAAAAiAAAAZHJzL2Rvd25yZXYueG1s&#10;UEsBAhQAFAAAAAgAh07iQDr7BDX5AQAA5wMAAA4AAAAAAAAAAQAgAAAAJgEAAGRycy9lMm9Eb2Mu&#10;eG1sUEsFBgAAAAAGAAYAWQEAAJEFAAAAAA==&#10;">
                <v:fill on="f" focussize="0,0"/>
                <v:stroke weight="0.737007874015748pt" color="#000000" joinstyle="round" endcap="square"/>
                <v:imagedata o:title=""/>
                <o:lock v:ext="edit" aspectratio="f"/>
              </v:line>
            </w:pict>
          </mc:Fallback>
        </mc:AlternateContent>
      </w:r>
      <w:r>
        <w:rPr>
          <w:rFonts w:hint="eastAsia" w:ascii="方正仿宋_GBK" w:hAnsi="方正仿宋_GBK" w:eastAsia="方正仿宋_GBK" w:cs="方正仿宋_GBK"/>
          <w:spacing w:val="-8"/>
          <w:w w:val="95"/>
          <w:sz w:val="32"/>
          <w:szCs w:val="32"/>
          <w:lang w:val="en-US" w:eastAsia="zh-CN"/>
        </w:rPr>
        <w:t>本文书一式两份，一份送达，一份归档。</w:t>
      </w:r>
    </w:p>
    <w:p w14:paraId="068E0E0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1" w:fontKey="{48030FD0-CA2B-4D59-8F08-5B5F52F1781E}"/>
  </w:font>
  <w:font w:name="Mangal">
    <w:altName w:val="DejaVu Math TeX Gyre"/>
    <w:panose1 w:val="02040503050203030202"/>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embedRegular r:id="rId2" w:fontKey="{CD0CE6E8-3EC4-4471-BAF4-700455533043}"/>
  </w:font>
  <w:font w:name="Mongolian Baiti">
    <w:panose1 w:val="03000500000000000000"/>
    <w:charset w:val="00"/>
    <w:family w:val="script"/>
    <w:pitch w:val="default"/>
    <w:sig w:usb0="80000023" w:usb1="00000000" w:usb2="00020000" w:usb3="00000000" w:csb0="00000001" w:csb1="00000000"/>
    <w:embedRegular r:id="rId3" w:fontKey="{8D125A1C-BD67-4735-8C95-03C5A7E0096A}"/>
  </w:font>
  <w:font w:name="方正仿宋_GBK">
    <w:panose1 w:val="03000509000000000000"/>
    <w:charset w:val="86"/>
    <w:family w:val="script"/>
    <w:pitch w:val="default"/>
    <w:sig w:usb0="00000001" w:usb1="080E0000" w:usb2="00000000" w:usb3="00000000" w:csb0="00040000" w:csb1="00000000"/>
    <w:embedRegular r:id="rId4" w:fontKey="{1604565F-80EC-4FBA-9644-75442F3AA55F}"/>
  </w:font>
  <w:font w:name="仿宋_GB2312">
    <w:panose1 w:val="02010609030101010101"/>
    <w:charset w:val="86"/>
    <w:family w:val="modern"/>
    <w:pitch w:val="default"/>
    <w:sig w:usb0="00000001" w:usb1="080E0000" w:usb2="00000000" w:usb3="00000000" w:csb0="00040000" w:csb1="00000000"/>
    <w:embedRegular r:id="rId5" w:fontKey="{93FADC04-4AF2-43D5-98A2-6E9C066260B5}"/>
  </w:font>
  <w:font w:name="仿宋">
    <w:panose1 w:val="02010609060101010101"/>
    <w:charset w:val="86"/>
    <w:family w:val="auto"/>
    <w:pitch w:val="default"/>
    <w:sig w:usb0="800002BF" w:usb1="38CF7CFA" w:usb2="00000016" w:usb3="00000000" w:csb0="00040001" w:csb1="00000000"/>
    <w:embedRegular r:id="rId6" w:fontKey="{0B416CE2-1133-4E7B-B263-D2741F767F0A}"/>
  </w:font>
  <w:font w:name="DejaVu Math TeX Gyre">
    <w:panose1 w:val="02000503000000000000"/>
    <w:charset w:val="00"/>
    <w:family w:val="auto"/>
    <w:pitch w:val="default"/>
    <w:sig w:usb0="A10000EF" w:usb1="4201F9EE" w:usb2="02000000" w:usb3="00000000" w:csb0="60000193" w:csb1="0DD4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MzFhOTY2NzA3ZTg2NzllNzA2ODkzZGU0MTRlNmYifQ=="/>
  </w:docVars>
  <w:rsids>
    <w:rsidRoot w:val="3D443F4B"/>
    <w:rsid w:val="00C03AF4"/>
    <w:rsid w:val="01AC7C0B"/>
    <w:rsid w:val="03B1519A"/>
    <w:rsid w:val="04A1640F"/>
    <w:rsid w:val="0A9514B8"/>
    <w:rsid w:val="0F476DB3"/>
    <w:rsid w:val="10FD13EE"/>
    <w:rsid w:val="16CF6005"/>
    <w:rsid w:val="17AB217C"/>
    <w:rsid w:val="1875611F"/>
    <w:rsid w:val="206E5C37"/>
    <w:rsid w:val="21E022E1"/>
    <w:rsid w:val="23226FDE"/>
    <w:rsid w:val="23407620"/>
    <w:rsid w:val="2630034E"/>
    <w:rsid w:val="275E6C31"/>
    <w:rsid w:val="2B374899"/>
    <w:rsid w:val="2E0E0ACE"/>
    <w:rsid w:val="30FB5D8D"/>
    <w:rsid w:val="32367DC2"/>
    <w:rsid w:val="334E0EF8"/>
    <w:rsid w:val="3C3D58C9"/>
    <w:rsid w:val="3D2A055C"/>
    <w:rsid w:val="3D315030"/>
    <w:rsid w:val="3D443F4B"/>
    <w:rsid w:val="3E944A56"/>
    <w:rsid w:val="48766E1B"/>
    <w:rsid w:val="4F46156A"/>
    <w:rsid w:val="5A3701CE"/>
    <w:rsid w:val="5C4332D4"/>
    <w:rsid w:val="649F3E45"/>
    <w:rsid w:val="66CA7215"/>
    <w:rsid w:val="68065445"/>
    <w:rsid w:val="69026752"/>
    <w:rsid w:val="6AEF70FD"/>
    <w:rsid w:val="6DC67D29"/>
    <w:rsid w:val="76EF5F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footer"/>
    <w:basedOn w:val="1"/>
    <w:unhideWhenUsed/>
    <w:qFormat/>
    <w:uiPriority w:val="99"/>
    <w:pPr>
      <w:tabs>
        <w:tab w:val="center" w:pos="4153"/>
        <w:tab w:val="right" w:pos="8306"/>
      </w:tabs>
      <w:snapToGrid w:val="0"/>
      <w:jc w:val="left"/>
    </w:pPr>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2171</Words>
  <Characters>2344</Characters>
  <Lines>0</Lines>
  <Paragraphs>0</Paragraphs>
  <TotalTime>1</TotalTime>
  <ScaleCrop>false</ScaleCrop>
  <LinksUpToDate>false</LinksUpToDate>
  <CharactersWithSpaces>2464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2022-04-30T03:25:00Z</dcterms:created>
  <dc:creator>keyumjan</dc:creator>
  <cp:lastModifiedBy>Administrator</cp:lastModifiedBy>
  <cp:lastPrinted>2024-09-06T03:29:00Z</cp:lastPrinted>
  <dcterms:modified xsi:type="dcterms:W3CDTF">2024-09-26T08:05:12Z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86D6E05835254F2BB28832344CF2B5E0</vt:lpwstr>
  </property>
</Properties>
</file>