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DE0E5">
      <w:pPr>
        <w:keepNext w:val="0"/>
        <w:keepLines w:val="0"/>
        <w:pageBreakBefore w:val="0"/>
        <w:kinsoku/>
        <w:wordWrap/>
        <w:overflowPunct/>
        <w:topLinePunct w:val="0"/>
        <w:autoSpaceDE/>
        <w:autoSpaceDN/>
        <w:bidi w:val="0"/>
        <w:adjustRightInd/>
        <w:spacing w:line="560" w:lineRule="exact"/>
        <w:jc w:val="center"/>
        <w:textAlignment w:val="auto"/>
        <w:outlineLvl w:val="0"/>
        <w:rPr>
          <w:rFonts w:hint="eastAsia" w:ascii="方正小标宋简体" w:hAnsi="方正小标宋简体" w:eastAsia="方正小标宋简体" w:cs="方正小标宋简体"/>
          <w:sz w:val="44"/>
          <w:szCs w:val="44"/>
        </w:rPr>
      </w:pPr>
      <w:bookmarkStart w:id="0" w:name="_Toc29056"/>
      <w:bookmarkStart w:id="1" w:name="_Toc76683318"/>
      <w:r>
        <w:rPr>
          <w:rFonts w:hint="eastAsia" w:ascii="方正小标宋简体" w:hAnsi="方正小标宋简体" w:eastAsia="方正小标宋简体" w:cs="方正小标宋简体"/>
          <w:bCs/>
          <w:sz w:val="44"/>
          <w:szCs w:val="44"/>
          <w:u w:val="none"/>
          <w:lang w:val="en-US" w:eastAsia="zh-CN"/>
        </w:rPr>
        <w:t>岳普湖县</w:t>
      </w:r>
      <w:r>
        <w:rPr>
          <w:rFonts w:hint="eastAsia" w:ascii="方正小标宋简体" w:hAnsi="方正小标宋简体" w:eastAsia="方正小标宋简体" w:cs="方正小标宋简体"/>
          <w:bCs/>
          <w:sz w:val="44"/>
          <w:szCs w:val="44"/>
        </w:rPr>
        <w:t>市场监督管理局</w:t>
      </w:r>
      <w:bookmarkEnd w:id="0"/>
      <w:bookmarkEnd w:id="1"/>
    </w:p>
    <w:p w14:paraId="2252FE51">
      <w:pPr>
        <w:keepNext w:val="0"/>
        <w:keepLines w:val="0"/>
        <w:pageBreakBefore w:val="0"/>
        <w:kinsoku/>
        <w:wordWrap/>
        <w:overflowPunct/>
        <w:topLinePunct w:val="0"/>
        <w:autoSpaceDE/>
        <w:autoSpaceDN/>
        <w:bidi w:val="0"/>
        <w:adjustRightInd/>
        <w:spacing w:line="560" w:lineRule="exact"/>
        <w:jc w:val="center"/>
        <w:textAlignment w:val="auto"/>
        <w:outlineLvl w:val="0"/>
        <w:rPr>
          <w:rFonts w:ascii="Times New Roman" w:hAnsi="Times New Roman" w:eastAsia="方正小标宋简体" w:cs="Mongolian Baiti"/>
          <w:bCs/>
          <w:color w:val="000000"/>
          <w:sz w:val="44"/>
          <w:szCs w:val="44"/>
        </w:rPr>
      </w:pPr>
      <w:bookmarkStart w:id="2" w:name="_Toc76683364"/>
      <w:r>
        <w:rPr>
          <w:rFonts w:ascii="Times New Roman" w:hAnsi="Mongolian Baiti" w:eastAsia="方正小标宋简体" w:cs="Mongolian Baiti"/>
          <w:bCs/>
          <w:color w:val="000000"/>
          <w:sz w:val="44"/>
          <w:szCs w:val="44"/>
        </w:rPr>
        <w:t>行政处罚决定书</w:t>
      </w:r>
      <w:bookmarkEnd w:id="2"/>
    </w:p>
    <w:p w14:paraId="3E3D47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岳市监罚字〔2024〕109号</w:t>
      </w:r>
    </w:p>
    <w:p w14:paraId="4A9D14C2">
      <w:pPr>
        <w:keepNext w:val="0"/>
        <w:keepLines w:val="0"/>
        <w:pageBreakBefore w:val="0"/>
        <w:widowControl/>
        <w:kinsoku/>
        <w:wordWrap/>
        <w:overflowPunct/>
        <w:topLinePunct w:val="0"/>
        <w:autoSpaceDE/>
        <w:autoSpaceDN/>
        <w:bidi w:val="0"/>
        <w:adjustRightInd/>
        <w:snapToGrid w:val="0"/>
        <w:spacing w:line="560" w:lineRule="exact"/>
        <w:ind w:right="55" w:firstLine="5440" w:firstLineChars="1700"/>
        <w:textAlignment w:val="auto"/>
        <w:rPr>
          <w:rFonts w:hint="eastAsia" w:ascii="Times New Roman" w:hAnsi="Times New Roman" w:eastAsia="仿宋_GB2312" w:cs="Mongolian Baiti"/>
          <w:color w:val="000000"/>
          <w:sz w:val="32"/>
          <w:szCs w:val="32"/>
        </w:rPr>
      </w:pPr>
      <w:r>
        <w:rPr>
          <w:rFonts w:hint="eastAsia" w:ascii="Times New Roman" w:hAnsi="Times New Roman" w:eastAsia="仿宋_GB2312" w:cs="Mongolian Baiti"/>
          <w:color w:val="000000"/>
          <w:sz w:val="32"/>
          <w:szCs w:val="32"/>
        </w:rPr>
        <mc:AlternateContent>
          <mc:Choice Requires="wps">
            <w:drawing>
              <wp:anchor distT="0" distB="0" distL="114300" distR="114300" simplePos="0" relativeHeight="251659264" behindDoc="0" locked="0" layoutInCell="1" allowOverlap="0">
                <wp:simplePos x="0" y="0"/>
                <wp:positionH relativeFrom="column">
                  <wp:posOffset>-38100</wp:posOffset>
                </wp:positionH>
                <wp:positionV relativeFrom="paragraph">
                  <wp:posOffset>20802600</wp:posOffset>
                </wp:positionV>
                <wp:extent cx="5761990" cy="0"/>
                <wp:effectExtent l="0" t="9525" r="3810" b="15875"/>
                <wp:wrapNone/>
                <wp:docPr id="11" name="直接箭头连接符 11"/>
                <wp:cNvGraphicFramePr/>
                <a:graphic xmlns:a="http://schemas.openxmlformats.org/drawingml/2006/main">
                  <a:graphicData uri="http://schemas.microsoft.com/office/word/2010/wordprocessingShape">
                    <wps:wsp>
                      <wps:cNvCnPr/>
                      <wps:spPr>
                        <a:xfrm>
                          <a:off x="0" y="0"/>
                          <a:ext cx="5761990" cy="0"/>
                        </a:xfrm>
                        <a:prstGeom prst="straightConnector1">
                          <a:avLst/>
                        </a:prstGeom>
                        <a:ln w="19050" cap="flat" cmpd="sng">
                          <a:solidFill>
                            <a:srgbClr val="000000"/>
                          </a:solidFill>
                          <a:prstDash val="solid"/>
                          <a:headEnd type="none" w="med" len="med"/>
                          <a:tailEnd type="none" w="med" len="med"/>
                        </a:ln>
                      </wps:spPr>
                      <wps:txbx>
                        <w:txbxContent>
                          <w:p w14:paraId="4F8AC6F9">
                            <w:pPr>
                              <w:wordWrap w:val="0"/>
                              <w:rPr>
                                <w:rFonts w:ascii="宋体" w:hAnsi="宋体"/>
                                <w:sz w:val="20"/>
                                <w:szCs w:val="20"/>
                              </w:rPr>
                            </w:pPr>
                          </w:p>
                        </w:txbxContent>
                      </wps:txbx>
                      <wps:bodyPr/>
                    </wps:wsp>
                  </a:graphicData>
                </a:graphic>
              </wp:anchor>
            </w:drawing>
          </mc:Choice>
          <mc:Fallback>
            <w:pict>
              <v:shape id="_x0000_s1026" o:spid="_x0000_s1026" o:spt="32" type="#_x0000_t32" style="position:absolute;left:0pt;margin-left:-3pt;margin-top:1638pt;height:0pt;width:453.7pt;z-index:251659264;mso-width-relative:page;mso-height-relative:page;" filled="f" stroked="t" coordsize="21600,21600" o:allowoverlap="f" o:gfxdata="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4Ky1v9YAAAAMAQAADwAAAAAAAAABACAAAAAiAAAAZHJzL2Rv&#10;d25yZXYueG1sUEsBAhQAFAAAAAgAh07iQEQQJ+oDAgAA+gMAAA4AAAAAAAAAAQAgAAAAJQEAAGRy&#10;cy9lMm9Eb2MueG1sUEsFBgAAAAAGAAYAWQEAAJoFAAAAAA==&#10;">
                <v:fill on="f" focussize="0,0"/>
                <v:stroke weight="1.5pt" color="#000000" joinstyle="round"/>
                <v:imagedata o:title=""/>
                <o:lock v:ext="edit" aspectratio="f"/>
                <v:textbox>
                  <w:txbxContent>
                    <w:p w14:paraId="4F8AC6F9">
                      <w:pPr>
                        <w:wordWrap w:val="0"/>
                        <w:rPr>
                          <w:rFonts w:ascii="宋体" w:hAnsi="宋体"/>
                          <w:sz w:val="20"/>
                          <w:szCs w:val="20"/>
                        </w:rPr>
                      </w:pPr>
                    </w:p>
                  </w:txbxContent>
                </v:textbox>
              </v:shape>
            </w:pict>
          </mc:Fallback>
        </mc:AlternateContent>
      </w:r>
    </w:p>
    <w:p w14:paraId="0FA1326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w:t>
      </w:r>
    </w:p>
    <w:p w14:paraId="659B3F9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主体资格证照名称：营业执照</w:t>
      </w:r>
    </w:p>
    <w:p w14:paraId="313643B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统一社会信用代码：92653128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Y9D</w:t>
      </w:r>
    </w:p>
    <w:p w14:paraId="331175C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住所（住址）：新疆喀什</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路</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号楼</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w:t>
      </w:r>
    </w:p>
    <w:p w14:paraId="2B054FF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法定代表人（负责人、经营者）：帕</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拉</w:t>
      </w:r>
    </w:p>
    <w:p w14:paraId="5F7D5018">
      <w:pPr>
        <w:keepNext w:val="0"/>
        <w:keepLines w:val="0"/>
        <w:pageBreakBefore w:val="0"/>
        <w:widowControl w:val="0"/>
        <w:tabs>
          <w:tab w:val="left" w:pos="545"/>
        </w:tabs>
        <w:kinsoku/>
        <w:wordWrap/>
        <w:overflowPunct/>
        <w:topLinePunct w:val="0"/>
        <w:autoSpaceDE/>
        <w:autoSpaceDN/>
        <w:bidi w:val="0"/>
        <w:adjustRightInd/>
        <w:snapToGrid/>
        <w:spacing w:line="56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06X</w:t>
      </w:r>
    </w:p>
    <w:p w14:paraId="1F146EE0">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19343142">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9月3日岳普湖县市场监督管理局执法人员徐红莲、刘博辉接到岳普湖县人民检察院通知后在你（单位）检查时，发现你（单位）营业场内柜台上摆放有标识为“淘气猴”（医疗器械注册证号：国械注准20193161631，36支）的软性亲水接触镜，以上产品属于三类医疗器械，执法人员现场检查时你（单位）未提供上述产品的进货发票和供货方资质证明以及医疗器械经营许可证，你（单位）的上述行为涉嫌违反了《医疗器械监督管理条例》第四十二条的规定，属于未取得医疗器械经营许可证经营三类医疗器械的违法行为。经本局负责人批准，依法对你（单位）涉案三类医疗器械实施扣押行政强制措施并立案调查（详情见岳市监强措〔2024〕109号）。</w:t>
      </w:r>
    </w:p>
    <w:p w14:paraId="4AC12E6D">
      <w:pPr>
        <w:keepNext w:val="0"/>
        <w:keepLines w:val="0"/>
        <w:pageBreakBefore w:val="0"/>
        <w:widowControl w:val="0"/>
        <w:kinsoku/>
        <w:wordWrap/>
        <w:overflowPunct/>
        <w:topLinePunct w:val="0"/>
        <w:autoSpaceDE/>
        <w:autoSpaceDN/>
        <w:bidi w:val="0"/>
        <w:adjustRightInd/>
        <w:spacing w:line="560" w:lineRule="exact"/>
        <w:ind w:firstLine="576" w:firstLineChars="200"/>
        <w:textAlignment w:val="auto"/>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pacing w:val="-8"/>
          <w:w w:val="95"/>
          <w:sz w:val="32"/>
          <w:szCs w:val="32"/>
          <w:lang w:val="en-US" w:eastAsia="zh-CN"/>
        </w:rPr>
        <w:t>经调查：</w:t>
      </w:r>
      <w:r>
        <w:rPr>
          <w:rFonts w:hint="eastAsia" w:ascii="方正仿宋_GBK" w:hAnsi="方正仿宋_GBK" w:eastAsia="方正仿宋_GBK" w:cs="方正仿宋_GBK"/>
          <w:sz w:val="30"/>
          <w:szCs w:val="30"/>
          <w:lang w:val="en-US" w:eastAsia="zh-CN"/>
        </w:rPr>
        <w:t>你（单位）是2023年2月17日依法注册登记的个体工商户，在岳普湖县艾吾再力库木西路8号楼3号化妆品零售。</w:t>
      </w:r>
    </w:p>
    <w:p w14:paraId="36AEC5FD">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以上三类医疗器械是你（单位）是从广州那边进的货，至2024年9月3日案发，你（单位）未取得医疗器械经营许可证，你单位现场无法提供以上三类医疗器械的进货发票和供货方资质证明。</w:t>
      </w:r>
    </w:p>
    <w:p w14:paraId="3325B0B7">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你（单位）销售的三类医疗器械，因未实际售出，按进货价格计算，货值金额为648元（36支*18元），执法人员未发现上述三类医疗器械的出售记录，办案人员认为没有违法所得。</w:t>
      </w:r>
    </w:p>
    <w:p w14:paraId="78F4EDFB">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上述事实，主要有以下证据证明：</w:t>
      </w:r>
    </w:p>
    <w:p w14:paraId="1AE1EA01">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1.岳普湖县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店营业执照复印件，证明当事人的主体资格。</w:t>
      </w:r>
    </w:p>
    <w:p w14:paraId="1060C03E">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2.当事人帕</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拉身份证复印件，证明当事人的负责人身份。</w:t>
      </w:r>
    </w:p>
    <w:p w14:paraId="08306791">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3.现场检查笔录、财务清单，证明现场检查时的违法行为。</w:t>
      </w:r>
    </w:p>
    <w:p w14:paraId="7245C57F">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4.询问笔录，证明当事人的违法事实。</w:t>
      </w:r>
    </w:p>
    <w:p w14:paraId="47EB82C0">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2BE82395">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9月20日向当事人送达了《行政处罚告知书》岳市监罚告〔2024〕109号，告知当事人本局拟对其进行行政处罚的事实、理由、依据及处罚金额等。同时告知当事人在法定期限内享有陈述、申辩的权利，当事人在法定期限内未进行陈述、申辩。</w:t>
      </w:r>
    </w:p>
    <w:p w14:paraId="5996E8C1">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798C2C34">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的行为违反了《医疗器械监督管理条例》第四十二条“从事第三类医疗器械经营的，经营企业应当向所在地设区的市级人民政府负责药品监督管理的部门申请经营许可并提交符合本条例第四十条规定条件的有关资料”的规定。事实清楚，证据确凿，应予以认定构成未经许可经营第三类医疗器械的违法行为。</w:t>
      </w:r>
    </w:p>
    <w:p w14:paraId="44B7C09B">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1D1E9DAD">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9月30日，当事人向我局递交了《减免处罚申请》和情况证明一份，报告中当事人诚恳地认识到错误，并承诺积极改正，因系你初次违法，涉案物品来源合法且未实际售出，在本案中能积极配合我局办案人员刘博辉、徐红莲调查，如实陈述违法事实并主动提供相关材料，已认识到涉嫌违法行为所带来的危害，主观态度较为积极，符合《中华人民共和国行政处罚法》第三十二条第(一)项:“(一)主动消除或者减轻违法行为危害后果的:”的规定，参照《新疆维吾尔自治区药品监督管理局行政处罚裁量权适用规定》第十七条第一项、第三项、第四项“符合下列情形之一的，可以从轻或者减轻行政处罚：（一）违法行为轻微，社会危害性较小的；（三）涉案产品来源合法且尚未销售或使用的；（四）积极配合药品监督管理部门调查，如实陈述违法事实并主动提供证据材料的；”的规定，经局案审会讨论决定对你（单位）给予减轻行政处罚。</w:t>
      </w:r>
    </w:p>
    <w:p w14:paraId="450409DD">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综上，依据《医疗器械监督管理条例》第八十一条第一款第（三）项“有下列情形之一的，由负责药品监督管理的部门没收违法所得、违法生产经营的医疗器械和用于违法生产经营的工具、设备、原材料等物品；违法生产经营的医疗器械货值金额不足1万元的，并处5万元以上15万元以下罚款；货值金额1万元以上的，并处货值金额15倍以上30倍以下罚款；情节严重的，责令停产停业，10年内不受理相关责任人以及单位提出的医疗器械许可申请，对违法单位的法定代表人、主要负责人、直接负责的主管人员和其他责任人员，没收违法行为发生期间自本单位所获收入，并处所获收入30%以上3倍以下罚款，终身禁止其从事医疗器械生产经营活动：（三）未经许可从事第三类医疗器械经营活动”的规定，参照“</w:t>
      </w:r>
      <w:r>
        <w:rPr>
          <w:rFonts w:hint="default" w:ascii="方正仿宋_GBK" w:hAnsi="方正仿宋_GBK" w:eastAsia="方正仿宋_GBK" w:cs="方正仿宋_GBK"/>
          <w:spacing w:val="-8"/>
          <w:w w:val="95"/>
          <w:sz w:val="32"/>
          <w:szCs w:val="32"/>
          <w:lang w:val="en-US" w:eastAsia="zh-CN"/>
        </w:rPr>
        <w:t>关于印发《新疆维吾尔自治区新疆生产建设兵团药品监督管理行政处罚裁量基准》《新疆维吾尔自治区新疆生产建设兵团医疗器械监督管理行政处罚裁量基准》《新疆维吾尔自治区新疆生产建设兵团化妆品监督管理行政处罚裁量基准》的通知</w:t>
      </w:r>
      <w:r>
        <w:rPr>
          <w:rFonts w:hint="eastAsia" w:ascii="方正仿宋_GBK" w:hAnsi="方正仿宋_GBK" w:eastAsia="方正仿宋_GBK" w:cs="方正仿宋_GBK"/>
          <w:spacing w:val="-8"/>
          <w:w w:val="95"/>
          <w:sz w:val="32"/>
          <w:szCs w:val="32"/>
          <w:lang w:val="en-US" w:eastAsia="zh-CN"/>
        </w:rPr>
        <w:t xml:space="preserve">”，结合岳普湖县本地经济形势，我局对你店的违法行为责令改正，并作如下行政处罚: </w:t>
      </w:r>
    </w:p>
    <w:p w14:paraId="6994AC77">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一、没收已扣押的三类医疗器械（36支）；</w:t>
      </w:r>
    </w:p>
    <w:p w14:paraId="7F50A60A">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二、罚款3000.00元（叁仟元整）。</w:t>
      </w:r>
    </w:p>
    <w:p w14:paraId="57E00342">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69A2D5C7">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w:t>
      </w:r>
    </w:p>
    <w:p w14:paraId="59C17497">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4708C6FB">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0FE9A79D">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p>
    <w:p w14:paraId="31F5B9AE">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p>
    <w:p w14:paraId="5683D7F8">
      <w:pPr>
        <w:keepNext w:val="0"/>
        <w:keepLines w:val="0"/>
        <w:pageBreakBefore w:val="0"/>
        <w:widowControl w:val="0"/>
        <w:kinsoku/>
        <w:wordWrap/>
        <w:overflowPunct/>
        <w:topLinePunct w:val="0"/>
        <w:autoSpaceDE/>
        <w:autoSpaceDN/>
        <w:bidi w:val="0"/>
        <w:adjustRightInd/>
        <w:snapToGrid/>
        <w:spacing w:line="56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p>
    <w:p w14:paraId="0B9E155F">
      <w:pPr>
        <w:keepNext w:val="0"/>
        <w:keepLines w:val="0"/>
        <w:pageBreakBefore w:val="0"/>
        <w:widowControl w:val="0"/>
        <w:kinsoku/>
        <w:wordWrap/>
        <w:overflowPunct/>
        <w:topLinePunct w:val="0"/>
        <w:autoSpaceDE/>
        <w:autoSpaceDN/>
        <w:bidi w:val="0"/>
        <w:adjustRightInd/>
        <w:snapToGrid/>
        <w:spacing w:line="56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p>
    <w:p w14:paraId="04CAB3C0">
      <w:pPr>
        <w:keepNext w:val="0"/>
        <w:keepLines w:val="0"/>
        <w:pageBreakBefore w:val="0"/>
        <w:widowControl w:val="0"/>
        <w:kinsoku/>
        <w:wordWrap/>
        <w:overflowPunct/>
        <w:topLinePunct w:val="0"/>
        <w:autoSpaceDE/>
        <w:autoSpaceDN/>
        <w:bidi w:val="0"/>
        <w:adjustRightInd/>
        <w:snapToGrid/>
        <w:spacing w:line="56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p>
    <w:p w14:paraId="72F765D2">
      <w:pPr>
        <w:keepNext w:val="0"/>
        <w:keepLines w:val="0"/>
        <w:pageBreakBefore w:val="0"/>
        <w:widowControl w:val="0"/>
        <w:kinsoku/>
        <w:wordWrap/>
        <w:overflowPunct/>
        <w:topLinePunct w:val="0"/>
        <w:autoSpaceDE/>
        <w:autoSpaceDN/>
        <w:bidi w:val="0"/>
        <w:adjustRightInd/>
        <w:snapToGrid/>
        <w:spacing w:line="56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岳普湖县市场监督管理局    </w:t>
      </w:r>
    </w:p>
    <w:p w14:paraId="1A723F49">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（印 章）         </w:t>
      </w:r>
    </w:p>
    <w:p w14:paraId="34D9A2BA">
      <w:pPr>
        <w:keepNext w:val="0"/>
        <w:keepLines w:val="0"/>
        <w:pageBreakBefore w:val="0"/>
        <w:widowControl w:val="0"/>
        <w:kinsoku/>
        <w:wordWrap/>
        <w:overflowPunct/>
        <w:topLinePunct w:val="0"/>
        <w:autoSpaceDE/>
        <w:autoSpaceDN/>
        <w:bidi w:val="0"/>
        <w:adjustRightInd/>
        <w:snapToGrid/>
        <w:spacing w:line="56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2024年10月10日</w:t>
      </w:r>
    </w:p>
    <w:p w14:paraId="43FEF11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pacing w:val="-8"/>
          <w:w w:val="95"/>
          <w:sz w:val="32"/>
          <w:szCs w:val="32"/>
          <w:lang w:val="en-US" w:eastAsia="zh-CN"/>
        </w:rPr>
      </w:pPr>
      <w:bookmarkStart w:id="3" w:name="_GoBack"/>
      <w:bookmarkEnd w:id="3"/>
    </w:p>
    <w:p w14:paraId="18C95E4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pacing w:val="-8"/>
          <w:w w:val="95"/>
          <w:sz w:val="32"/>
          <w:szCs w:val="32"/>
          <w:lang w:val="en-US" w:eastAsia="zh-CN"/>
        </w:rPr>
      </w:pPr>
    </w:p>
    <w:p w14:paraId="0768846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pacing w:val="-8"/>
          <w:w w:val="95"/>
          <w:sz w:val="32"/>
          <w:szCs w:val="32"/>
          <w:lang w:val="en-US" w:eastAsia="zh-CN"/>
        </w:rPr>
      </w:pPr>
    </w:p>
    <w:p w14:paraId="501DC34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pacing w:val="-8"/>
          <w:w w:val="95"/>
          <w:sz w:val="32"/>
          <w:szCs w:val="32"/>
          <w:lang w:val="en-US" w:eastAsia="zh-CN"/>
        </w:rPr>
      </w:pPr>
    </w:p>
    <w:p w14:paraId="2A7B46B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pacing w:val="-8"/>
          <w:w w:val="95"/>
          <w:sz w:val="32"/>
          <w:szCs w:val="32"/>
          <w:lang w:val="en-US" w:eastAsia="zh-CN"/>
        </w:rPr>
      </w:pPr>
    </w:p>
    <w:p w14:paraId="61906AF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pacing w:val="-8"/>
          <w:w w:val="95"/>
          <w:sz w:val="32"/>
          <w:szCs w:val="32"/>
          <w:lang w:val="en-US" w:eastAsia="zh-CN"/>
        </w:rPr>
      </w:pPr>
    </w:p>
    <w:p w14:paraId="411E160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spacing w:val="-8"/>
          <w:w w:val="95"/>
          <w:sz w:val="32"/>
          <w:szCs w:val="32"/>
          <w:lang w:val="en-US" w:eastAsia="zh-CN"/>
        </w:rPr>
      </w:pPr>
    </w:p>
    <w:p w14:paraId="24ACE7A4">
      <w:pPr>
        <w:keepNext w:val="0"/>
        <w:keepLines w:val="0"/>
        <w:pageBreakBefore w:val="0"/>
        <w:widowControl w:val="0"/>
        <w:tabs>
          <w:tab w:val="left" w:pos="3730"/>
        </w:tabs>
        <w:kinsoku/>
        <w:wordWrap/>
        <w:overflowPunct/>
        <w:topLinePunct w:val="0"/>
        <w:autoSpaceDE/>
        <w:autoSpaceDN/>
        <w:bidi w:val="0"/>
        <w:adjustRightInd/>
        <w:snapToGrid/>
        <w:spacing w:line="560" w:lineRule="exact"/>
        <w:ind w:right="0" w:firstLine="300" w:firstLineChars="100"/>
        <w:jc w:val="left"/>
        <w:textAlignment w:val="auto"/>
        <w:rPr>
          <w:rFonts w:hint="eastAsia" w:ascii="仿宋_GB2312" w:hAnsi="仿宋_GB2312" w:eastAsia="仿宋_GB2312" w:cs="仿宋_GB2312"/>
          <w:snapToGrid w:val="0"/>
          <w:color w:val="000000"/>
          <w:spacing w:val="-10"/>
          <w:kern w:val="0"/>
          <w:sz w:val="32"/>
          <w:szCs w:val="32"/>
          <w:lang w:val="en-US" w:eastAsia="zh-CN"/>
        </w:rPr>
      </w:pPr>
      <w:r>
        <w:rPr>
          <w:rFonts w:hint="eastAsia" w:ascii="仿宋_GB2312" w:hAnsi="仿宋_GB2312" w:eastAsia="仿宋_GB2312" w:cs="仿宋_GB2312"/>
          <w:snapToGrid w:val="0"/>
          <w:color w:val="000000"/>
          <w:spacing w:val="-10"/>
          <w:kern w:val="0"/>
          <w:sz w:val="32"/>
          <w:szCs w:val="32"/>
          <w:u w:val="single"/>
          <w:lang w:val="en-US" w:eastAsia="zh-CN"/>
        </w:rPr>
        <w:t>（市场监督管理部门将依法向社会公示本行政处罚决定信息）</w:t>
      </w:r>
    </w:p>
    <w:p w14:paraId="657CBED2">
      <w:pPr>
        <w:keepNext w:val="0"/>
        <w:keepLines w:val="0"/>
        <w:pageBreakBefore w:val="0"/>
        <w:widowControl w:val="0"/>
        <w:tabs>
          <w:tab w:val="left" w:pos="3730"/>
        </w:tabs>
        <w:kinsoku/>
        <w:wordWrap/>
        <w:overflowPunct/>
        <w:topLinePunct w:val="0"/>
        <w:autoSpaceDE/>
        <w:autoSpaceDN/>
        <w:bidi w:val="0"/>
        <w:adjustRightInd/>
        <w:snapToGrid/>
        <w:spacing w:line="560" w:lineRule="exact"/>
        <w:ind w:right="0" w:firstLine="1800" w:firstLineChars="600"/>
        <w:jc w:val="left"/>
        <w:textAlignment w:val="auto"/>
        <w:rPr>
          <w:rFonts w:hint="eastAsia" w:ascii="方正仿宋_GBK" w:hAnsi="方正仿宋_GBK" w:eastAsia="方正仿宋_GBK" w:cs="方正仿宋_GBK"/>
          <w:spacing w:val="-8"/>
          <w:w w:val="95"/>
          <w:sz w:val="32"/>
          <w:szCs w:val="32"/>
          <w:lang w:val="en-US" w:eastAsia="zh-CN"/>
        </w:rPr>
      </w:pPr>
      <w:r>
        <w:rPr>
          <w:rFonts w:hint="eastAsia" w:ascii="仿宋_GB2312" w:hAnsi="仿宋_GB2312" w:eastAsia="仿宋_GB2312" w:cs="仿宋_GB2312"/>
          <w:snapToGrid w:val="0"/>
          <w:color w:val="000000"/>
          <w:spacing w:val="-10"/>
          <w:kern w:val="0"/>
          <w:sz w:val="32"/>
          <w:szCs w:val="32"/>
          <w:lang w:val="en-US" w:eastAsia="zh-CN"/>
        </w:rPr>
        <w:t>本文书一式两份，一份送达，一份归档。</w:t>
      </w:r>
    </w:p>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embedRegular r:id="rId1" w:fontKey="{BD86A3DB-031D-411B-8989-4DF186F2DC32}"/>
  </w:font>
  <w:font w:name="Mongolian Baiti">
    <w:panose1 w:val="03000500000000000000"/>
    <w:charset w:val="00"/>
    <w:family w:val="script"/>
    <w:pitch w:val="default"/>
    <w:sig w:usb0="80000023" w:usb1="00000000" w:usb2="00020000" w:usb3="00000000" w:csb0="00000001" w:csb1="00000000"/>
    <w:embedRegular r:id="rId2" w:fontKey="{1F5C9E2E-A1B7-4D62-9C19-74B138FFE605}"/>
  </w:font>
  <w:font w:name="方正仿宋_GBK">
    <w:panose1 w:val="03000509000000000000"/>
    <w:charset w:val="86"/>
    <w:family w:val="script"/>
    <w:pitch w:val="default"/>
    <w:sig w:usb0="00000001" w:usb1="080E0000" w:usb2="00000000" w:usb3="00000000" w:csb0="00040000" w:csb1="00000000"/>
    <w:embedRegular r:id="rId3" w:fontKey="{5BE85CC2-5EF7-4062-BD99-FAAE8CDE3E05}"/>
  </w:font>
  <w:font w:name="仿宋_GB2312">
    <w:panose1 w:val="02010609030101010101"/>
    <w:charset w:val="86"/>
    <w:family w:val="modern"/>
    <w:pitch w:val="default"/>
    <w:sig w:usb0="00000001" w:usb1="080E0000" w:usb2="00000000" w:usb3="00000000" w:csb0="00040000" w:csb1="00000000"/>
    <w:embedRegular r:id="rId4" w:fontKey="{84DE53B9-029B-466D-B596-570FAA0159AD}"/>
  </w:font>
  <w:font w:name="仿宋">
    <w:panose1 w:val="02010609060101010101"/>
    <w:charset w:val="86"/>
    <w:family w:val="auto"/>
    <w:pitch w:val="default"/>
    <w:sig w:usb0="800002BF" w:usb1="38CF7CFA" w:usb2="00000016" w:usb3="00000000" w:csb0="00040001" w:csb1="00000000"/>
    <w:embedRegular r:id="rId5" w:fontKey="{CD10EBB7-A804-4F94-AB49-6CCE4F6D34F4}"/>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10FD13EE"/>
    <w:rsid w:val="168C17C4"/>
    <w:rsid w:val="16CF6005"/>
    <w:rsid w:val="17AB217C"/>
    <w:rsid w:val="1947284C"/>
    <w:rsid w:val="21E022E1"/>
    <w:rsid w:val="23226FDE"/>
    <w:rsid w:val="23407620"/>
    <w:rsid w:val="26AC3C0D"/>
    <w:rsid w:val="275E6C31"/>
    <w:rsid w:val="30FB5D8D"/>
    <w:rsid w:val="341F29C1"/>
    <w:rsid w:val="3C3D58C9"/>
    <w:rsid w:val="3D2A055C"/>
    <w:rsid w:val="3D315030"/>
    <w:rsid w:val="3D443F4B"/>
    <w:rsid w:val="3E944A56"/>
    <w:rsid w:val="48766E1B"/>
    <w:rsid w:val="4AB64284"/>
    <w:rsid w:val="4F46156A"/>
    <w:rsid w:val="5C4332D4"/>
    <w:rsid w:val="5DB15B22"/>
    <w:rsid w:val="649F3E45"/>
    <w:rsid w:val="66CA7215"/>
    <w:rsid w:val="68065445"/>
    <w:rsid w:val="69026752"/>
    <w:rsid w:val="69283AA1"/>
    <w:rsid w:val="6DC67D29"/>
    <w:rsid w:val="6E52560B"/>
    <w:rsid w:val="76EF5FA5"/>
    <w:rsid w:val="78745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2332</Words>
  <Characters>2439</Characters>
  <Lines>0</Lines>
  <Paragraphs>0</Paragraphs>
  <TotalTime>1</TotalTime>
  <ScaleCrop>false</ScaleCrop>
  <LinksUpToDate>false</LinksUpToDate>
  <CharactersWithSpaces>2555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2024-10-10T06:10:00Z</cp:lastPrinted>
  <dcterms:modified xsi:type="dcterms:W3CDTF">2024-10-21T08:41:00Z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01BC50F5BB584E64B208D16A434DFBC4_13</vt:lpwstr>
  </property>
</Properties>
</file>